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5EDC" w14:textId="7556278D" w:rsidR="004C1EA8" w:rsidRPr="004C1EA8" w:rsidRDefault="004C1EA8" w:rsidP="00CC7CCB">
      <w:pPr>
        <w:pBdr>
          <w:top w:val="single" w:sz="4" w:space="1" w:color="002060"/>
        </w:pBdr>
      </w:pPr>
    </w:p>
    <w:p w14:paraId="4860B817" w14:textId="22A8508B" w:rsidR="0061482D" w:rsidRPr="0061482D" w:rsidRDefault="0061482D" w:rsidP="0061482D">
      <w:pPr>
        <w:rPr>
          <w:color w:val="002060"/>
        </w:rPr>
      </w:pPr>
      <w:r w:rsidRPr="0061482D">
        <w:rPr>
          <w:rStyle w:val="Heading1Char"/>
          <w:color w:val="002060"/>
        </w:rPr>
        <w:t>Case Study: Addressing Systemic Patient Neglect in Healthcare Systems</w:t>
      </w:r>
      <w:r>
        <w:rPr>
          <w:rFonts w:asciiTheme="majorHAnsi" w:hAnsiTheme="majorHAnsi"/>
          <w:color w:val="002060"/>
          <w:sz w:val="32"/>
          <w:szCs w:val="32"/>
        </w:rPr>
        <w:br/>
        <w:t>(</w:t>
      </w:r>
      <w:r w:rsidRPr="0061482D">
        <w:rPr>
          <w:color w:val="002060"/>
        </w:rPr>
        <w:t>Metrics, Complaint Analytics, Root Cause Analysis, and AI-Enabled Solutions</w:t>
      </w:r>
      <w:r>
        <w:rPr>
          <w:color w:val="002060"/>
        </w:rPr>
        <w:t>)</w:t>
      </w:r>
    </w:p>
    <w:p w14:paraId="41832638" w14:textId="77777777" w:rsidR="0061482D" w:rsidRPr="0061482D" w:rsidRDefault="0061482D" w:rsidP="0061482D">
      <w:pPr>
        <w:pStyle w:val="Heading2"/>
        <w:rPr>
          <w:color w:val="002060"/>
        </w:rPr>
      </w:pPr>
      <w:r w:rsidRPr="0061482D">
        <w:rPr>
          <w:color w:val="002060"/>
        </w:rPr>
        <w:t>Executive Summary</w:t>
      </w:r>
    </w:p>
    <w:p w14:paraId="5F5E0058" w14:textId="77777777" w:rsidR="0061482D" w:rsidRPr="0061482D" w:rsidRDefault="0061482D" w:rsidP="0061482D">
      <w:pPr>
        <w:rPr>
          <w:color w:val="002060"/>
        </w:rPr>
      </w:pPr>
      <w:r w:rsidRPr="0061482D">
        <w:rPr>
          <w:color w:val="002060"/>
        </w:rPr>
        <w:t>Systemic patient neglect remains a persistent challenge across global healthcare systems, manifesting in recurring failures to meet patients’ medical and non-medical needs. This case study provides a comprehensive analysis of the scope of neglect, highlighting key metrics and complaint analytics, and mapping root causes to observed evidence. Drawing upon structured complaint taxonomies and representative datasets, the study identifies actionable interventions and operational strategies. Special attention is given to the role of technology, including AI-enabled platforms such as Desha.ai, in closing feedback loops and driving improvement. The report concludes with considerations for global deployment scenarios and an annex of artifact links for further reference.</w:t>
      </w:r>
    </w:p>
    <w:p w14:paraId="34400D2E" w14:textId="77777777" w:rsidR="0061482D" w:rsidRPr="0061482D" w:rsidRDefault="0061482D" w:rsidP="0061482D">
      <w:pPr>
        <w:rPr>
          <w:rFonts w:asciiTheme="majorHAnsi" w:hAnsiTheme="majorHAnsi"/>
          <w:color w:val="002060"/>
        </w:rPr>
      </w:pPr>
      <w:r w:rsidRPr="0061482D">
        <w:rPr>
          <w:rFonts w:asciiTheme="majorHAnsi" w:hAnsiTheme="majorHAnsi"/>
          <w:color w:val="002060"/>
        </w:rPr>
        <w:t>Scope and Key Metrics</w:t>
      </w:r>
    </w:p>
    <w:p w14:paraId="1846760E" w14:textId="77777777" w:rsidR="0061482D" w:rsidRPr="0061482D" w:rsidRDefault="0061482D" w:rsidP="0061482D">
      <w:pPr>
        <w:rPr>
          <w:color w:val="002060"/>
        </w:rPr>
      </w:pPr>
      <w:r w:rsidRPr="0061482D">
        <w:rPr>
          <w:color w:val="002060"/>
        </w:rPr>
        <w:t>Systemic patient neglect encompasses a spectrum of failures, from inadequate clinical care to a lack of compassion and responsiveness. The scope includes procedural errors, communication breakdowns, and systemic barriers impeding access or quality. Key metrics for assessment include:</w:t>
      </w:r>
    </w:p>
    <w:p w14:paraId="622BB07B" w14:textId="77777777" w:rsidR="0061482D" w:rsidRPr="0061482D" w:rsidRDefault="0061482D" w:rsidP="0061482D">
      <w:pPr>
        <w:numPr>
          <w:ilvl w:val="0"/>
          <w:numId w:val="1"/>
        </w:numPr>
        <w:rPr>
          <w:color w:val="002060"/>
        </w:rPr>
      </w:pPr>
      <w:r w:rsidRPr="0061482D">
        <w:rPr>
          <w:color w:val="002060"/>
        </w:rPr>
        <w:t>Rate of patient complaints per 1,000 encounters</w:t>
      </w:r>
    </w:p>
    <w:p w14:paraId="411E3DC5" w14:textId="77777777" w:rsidR="0061482D" w:rsidRPr="0061482D" w:rsidRDefault="0061482D" w:rsidP="0061482D">
      <w:pPr>
        <w:numPr>
          <w:ilvl w:val="0"/>
          <w:numId w:val="1"/>
        </w:numPr>
        <w:rPr>
          <w:color w:val="002060"/>
        </w:rPr>
      </w:pPr>
      <w:r w:rsidRPr="0061482D">
        <w:rPr>
          <w:color w:val="002060"/>
        </w:rPr>
        <w:t>Incidence of adverse events linked to neglect (e.g., missed diagnoses, medication errors)</w:t>
      </w:r>
    </w:p>
    <w:p w14:paraId="4034754D" w14:textId="77777777" w:rsidR="0061482D" w:rsidRPr="0061482D" w:rsidRDefault="0061482D" w:rsidP="0061482D">
      <w:pPr>
        <w:numPr>
          <w:ilvl w:val="0"/>
          <w:numId w:val="1"/>
        </w:numPr>
        <w:rPr>
          <w:color w:val="002060"/>
        </w:rPr>
      </w:pPr>
      <w:r w:rsidRPr="0061482D">
        <w:rPr>
          <w:color w:val="002060"/>
        </w:rPr>
        <w:t>Patient-reported experience scores (PREMs)</w:t>
      </w:r>
    </w:p>
    <w:p w14:paraId="3784D06F" w14:textId="77777777" w:rsidR="0061482D" w:rsidRPr="0061482D" w:rsidRDefault="0061482D" w:rsidP="0061482D">
      <w:pPr>
        <w:numPr>
          <w:ilvl w:val="0"/>
          <w:numId w:val="1"/>
        </w:numPr>
        <w:rPr>
          <w:color w:val="002060"/>
        </w:rPr>
      </w:pPr>
      <w:r w:rsidRPr="0061482D">
        <w:rPr>
          <w:color w:val="002060"/>
        </w:rPr>
        <w:t>Staffing ratios and workload indicators</w:t>
      </w:r>
    </w:p>
    <w:p w14:paraId="7D3CF468" w14:textId="77777777" w:rsidR="0061482D" w:rsidRPr="0061482D" w:rsidRDefault="0061482D" w:rsidP="0061482D">
      <w:pPr>
        <w:numPr>
          <w:ilvl w:val="0"/>
          <w:numId w:val="1"/>
        </w:numPr>
        <w:rPr>
          <w:color w:val="002060"/>
        </w:rPr>
      </w:pPr>
      <w:r w:rsidRPr="0061482D">
        <w:rPr>
          <w:color w:val="002060"/>
        </w:rPr>
        <w:t>Timeliness of complaint resolution</w:t>
      </w:r>
    </w:p>
    <w:p w14:paraId="267941EE" w14:textId="77777777" w:rsidR="0061482D" w:rsidRPr="0061482D" w:rsidRDefault="0061482D" w:rsidP="0061482D">
      <w:pPr>
        <w:numPr>
          <w:ilvl w:val="0"/>
          <w:numId w:val="1"/>
        </w:numPr>
        <w:rPr>
          <w:color w:val="002060"/>
        </w:rPr>
      </w:pPr>
      <w:r w:rsidRPr="0061482D">
        <w:rPr>
          <w:color w:val="002060"/>
        </w:rPr>
        <w:t>Repeat complaint rates</w:t>
      </w:r>
    </w:p>
    <w:p w14:paraId="14E2FC97" w14:textId="155B298F" w:rsidR="0061482D" w:rsidRPr="0061482D" w:rsidRDefault="0061482D" w:rsidP="0061482D">
      <w:pPr>
        <w:rPr>
          <w:color w:val="002060"/>
        </w:rPr>
      </w:pPr>
      <w:r w:rsidRPr="0061482D">
        <w:rPr>
          <w:color w:val="002060"/>
        </w:rPr>
        <w:t xml:space="preserve">Evidence sources for these metrics include national patient safety databases, regulatory reports, hospital complaint logs, and independent inquiry findings.  Links are available in </w:t>
      </w:r>
      <w:r w:rsidR="0004602C" w:rsidRPr="0061482D">
        <w:rPr>
          <w:color w:val="002060"/>
        </w:rPr>
        <w:t>Annexure.</w:t>
      </w:r>
    </w:p>
    <w:p w14:paraId="6300D803" w14:textId="77777777" w:rsidR="0061482D" w:rsidRPr="0061482D" w:rsidRDefault="0061482D" w:rsidP="0061482D">
      <w:pPr>
        <w:pStyle w:val="Heading2"/>
        <w:rPr>
          <w:color w:val="002060"/>
        </w:rPr>
      </w:pPr>
      <w:r w:rsidRPr="0061482D">
        <w:rPr>
          <w:color w:val="002060"/>
        </w:rPr>
        <w:t>Procedural vs. Caring Failures</w:t>
      </w:r>
    </w:p>
    <w:p w14:paraId="326BDCE8" w14:textId="77777777" w:rsidR="0061482D" w:rsidRDefault="0061482D" w:rsidP="0061482D">
      <w:pPr>
        <w:rPr>
          <w:color w:val="002060"/>
        </w:rPr>
      </w:pPr>
      <w:r w:rsidRPr="0061482D">
        <w:rPr>
          <w:color w:val="002060"/>
        </w:rPr>
        <w:t>Neglect cases can be broadly categorized as procedural failures (e.g., omission of care, delays in treatment) and caring failures (e.g., lack of empathy, poor communication). Associated harms range from physical injury and prolonged recovery to psychological distress and erosion of trust in healthcare institutions.</w:t>
      </w:r>
    </w:p>
    <w:p w14:paraId="1DE5A331" w14:textId="77777777" w:rsidR="0061482D" w:rsidRPr="0061482D" w:rsidRDefault="0061482D" w:rsidP="0061482D">
      <w:pPr>
        <w:rPr>
          <w:color w:val="002060"/>
        </w:rPr>
      </w:pPr>
    </w:p>
    <w:p w14:paraId="6F0686BF" w14:textId="77777777" w:rsidR="0061482D" w:rsidRPr="0061482D" w:rsidRDefault="0061482D" w:rsidP="0061482D">
      <w:pPr>
        <w:pStyle w:val="Heading2"/>
        <w:rPr>
          <w:color w:val="002060"/>
        </w:rPr>
      </w:pPr>
      <w:r w:rsidRPr="0061482D">
        <w:rPr>
          <w:color w:val="002060"/>
        </w:rPr>
        <w:lastRenderedPageBreak/>
        <w:t>Representative Evidence and Complaint Taxonomy</w:t>
      </w:r>
    </w:p>
    <w:p w14:paraId="686C3EC0" w14:textId="77777777" w:rsidR="0061482D" w:rsidRPr="0061482D" w:rsidRDefault="0061482D" w:rsidP="0061482D">
      <w:pPr>
        <w:rPr>
          <w:color w:val="002060"/>
        </w:rPr>
      </w:pPr>
      <w:r w:rsidRPr="0061482D">
        <w:rPr>
          <w:color w:val="002060"/>
        </w:rPr>
        <w:t>A structured taxonomy enables systematic analysis of patient complaints and incident reports. Domains typically include:</w:t>
      </w:r>
    </w:p>
    <w:p w14:paraId="1BB04536" w14:textId="77777777" w:rsidR="0061482D" w:rsidRPr="0061482D" w:rsidRDefault="0061482D" w:rsidP="0061482D">
      <w:pPr>
        <w:numPr>
          <w:ilvl w:val="0"/>
          <w:numId w:val="2"/>
        </w:numPr>
        <w:rPr>
          <w:color w:val="002060"/>
        </w:rPr>
      </w:pPr>
      <w:r w:rsidRPr="0061482D">
        <w:rPr>
          <w:color w:val="002060"/>
        </w:rPr>
        <w:t>Access to Care: Delays, denial, and barriers to services</w:t>
      </w:r>
    </w:p>
    <w:p w14:paraId="545BECF3" w14:textId="77777777" w:rsidR="0061482D" w:rsidRPr="0061482D" w:rsidRDefault="0061482D" w:rsidP="0061482D">
      <w:pPr>
        <w:numPr>
          <w:ilvl w:val="0"/>
          <w:numId w:val="2"/>
        </w:numPr>
        <w:rPr>
          <w:color w:val="002060"/>
        </w:rPr>
      </w:pPr>
      <w:r w:rsidRPr="0061482D">
        <w:rPr>
          <w:color w:val="002060"/>
        </w:rPr>
        <w:t>Clinical Quality: Diagnostic errors, treatment omissions, procedural mistakes</w:t>
      </w:r>
    </w:p>
    <w:p w14:paraId="659E194A" w14:textId="77777777" w:rsidR="0061482D" w:rsidRPr="0061482D" w:rsidRDefault="0061482D" w:rsidP="0061482D">
      <w:pPr>
        <w:numPr>
          <w:ilvl w:val="0"/>
          <w:numId w:val="2"/>
        </w:numPr>
        <w:rPr>
          <w:color w:val="002060"/>
        </w:rPr>
      </w:pPr>
      <w:r w:rsidRPr="0061482D">
        <w:rPr>
          <w:color w:val="002060"/>
        </w:rPr>
        <w:t>Communication: Inadequate information, disrespectful interactions</w:t>
      </w:r>
    </w:p>
    <w:p w14:paraId="7D3D251D" w14:textId="77777777" w:rsidR="0061482D" w:rsidRPr="0061482D" w:rsidRDefault="0061482D" w:rsidP="0061482D">
      <w:pPr>
        <w:numPr>
          <w:ilvl w:val="0"/>
          <w:numId w:val="2"/>
        </w:numPr>
        <w:rPr>
          <w:color w:val="002060"/>
        </w:rPr>
      </w:pPr>
      <w:r w:rsidRPr="0061482D">
        <w:rPr>
          <w:color w:val="002060"/>
        </w:rPr>
        <w:t>Environment: Unsafe conditions, lack of privacy, hygiene issues</w:t>
      </w:r>
    </w:p>
    <w:p w14:paraId="2DC5C5B1" w14:textId="77777777" w:rsidR="0061482D" w:rsidRPr="0061482D" w:rsidRDefault="0061482D" w:rsidP="0061482D">
      <w:pPr>
        <w:numPr>
          <w:ilvl w:val="0"/>
          <w:numId w:val="2"/>
        </w:numPr>
        <w:rPr>
          <w:color w:val="002060"/>
        </w:rPr>
      </w:pPr>
      <w:r w:rsidRPr="0061482D">
        <w:rPr>
          <w:color w:val="002060"/>
        </w:rPr>
        <w:t>Responsiveness: Failure to listen, slow escalation, ignored concerns</w:t>
      </w:r>
    </w:p>
    <w:p w14:paraId="173DF065" w14:textId="77777777" w:rsidR="0061482D" w:rsidRPr="0061482D" w:rsidRDefault="0061482D" w:rsidP="0061482D">
      <w:pPr>
        <w:rPr>
          <w:color w:val="002060"/>
        </w:rPr>
      </w:pPr>
      <w:r w:rsidRPr="0061482D">
        <w:rPr>
          <w:color w:val="002060"/>
        </w:rPr>
        <w:t>Dataset synthesis reveals recurring patterns: high complaint volumes in understaffed settings, clusters of procedural errors during periods of organizational transition, and spikes in caring failures in environments with poor staff morale. National learning examples (e.g., NHS England’s annual complaints report, U.S. Joint Commission Sentinel Event data) reinforce the prevalence of systemic neglect and its multifactorial nature.</w:t>
      </w:r>
    </w:p>
    <w:p w14:paraId="3E3C050B" w14:textId="77777777" w:rsidR="0061482D" w:rsidRPr="0061482D" w:rsidRDefault="0061482D" w:rsidP="0061482D">
      <w:pPr>
        <w:pStyle w:val="Heading2"/>
        <w:rPr>
          <w:color w:val="002060"/>
        </w:rPr>
      </w:pPr>
      <w:r w:rsidRPr="0061482D">
        <w:rPr>
          <w:color w:val="002060"/>
        </w:rPr>
        <w:t>Case Exemplars</w:t>
      </w:r>
    </w:p>
    <w:p w14:paraId="1F9A533C" w14:textId="77777777" w:rsidR="0061482D" w:rsidRPr="0061482D" w:rsidRDefault="0061482D" w:rsidP="0061482D">
      <w:pPr>
        <w:numPr>
          <w:ilvl w:val="0"/>
          <w:numId w:val="3"/>
        </w:numPr>
        <w:rPr>
          <w:color w:val="002060"/>
        </w:rPr>
      </w:pPr>
      <w:r w:rsidRPr="0061482D">
        <w:rPr>
          <w:color w:val="002060"/>
        </w:rPr>
        <w:t>Missed Escalation: A patient’s deteriorating condition is repeatedly flagged but not acted upon due to unclear escalation protocols.</w:t>
      </w:r>
    </w:p>
    <w:p w14:paraId="7E77EF46" w14:textId="77777777" w:rsidR="0061482D" w:rsidRPr="0061482D" w:rsidRDefault="0061482D" w:rsidP="0061482D">
      <w:pPr>
        <w:numPr>
          <w:ilvl w:val="0"/>
          <w:numId w:val="3"/>
        </w:numPr>
        <w:rPr>
          <w:color w:val="002060"/>
        </w:rPr>
      </w:pPr>
      <w:r w:rsidRPr="0061482D">
        <w:rPr>
          <w:color w:val="002060"/>
        </w:rPr>
        <w:t>Communication Breakdown: Families report being uninformed about critical decisions, resulting in confusion and distress.</w:t>
      </w:r>
    </w:p>
    <w:p w14:paraId="5A233F66" w14:textId="77777777" w:rsidR="0061482D" w:rsidRPr="0061482D" w:rsidRDefault="0061482D" w:rsidP="0061482D">
      <w:pPr>
        <w:numPr>
          <w:ilvl w:val="0"/>
          <w:numId w:val="3"/>
        </w:numPr>
        <w:rPr>
          <w:color w:val="002060"/>
        </w:rPr>
      </w:pPr>
      <w:r w:rsidRPr="0061482D">
        <w:rPr>
          <w:color w:val="002060"/>
        </w:rPr>
        <w:t>Procedural Omission: Failure to administer medication on time due to staff shortages.</w:t>
      </w:r>
    </w:p>
    <w:p w14:paraId="15440659" w14:textId="77777777" w:rsidR="0061482D" w:rsidRPr="0061482D" w:rsidRDefault="0061482D" w:rsidP="0061482D">
      <w:pPr>
        <w:rPr>
          <w:color w:val="002060"/>
        </w:rPr>
      </w:pPr>
      <w:r w:rsidRPr="0061482D">
        <w:rPr>
          <w:color w:val="002060"/>
        </w:rPr>
        <w:t>Sources: National regulatory bodies, hospital ombudsman reports, independent inquiries.</w:t>
      </w:r>
      <w:r w:rsidRPr="0061482D">
        <w:rPr>
          <w:color w:val="002060"/>
        </w:rPr>
        <w:br/>
        <w:t>Links are available through references.</w:t>
      </w:r>
    </w:p>
    <w:p w14:paraId="6DB43316" w14:textId="77777777" w:rsidR="0061482D" w:rsidRPr="0061482D" w:rsidRDefault="0061482D" w:rsidP="0061482D">
      <w:pPr>
        <w:pStyle w:val="Heading2"/>
        <w:rPr>
          <w:color w:val="002060"/>
        </w:rPr>
      </w:pPr>
      <w:r w:rsidRPr="0061482D">
        <w:rPr>
          <w:color w:val="002060"/>
        </w:rPr>
        <w:t>Root Causes Mapped to Evidence</w:t>
      </w:r>
    </w:p>
    <w:p w14:paraId="3518BA05" w14:textId="77777777" w:rsidR="0061482D" w:rsidRPr="0061482D" w:rsidRDefault="0061482D" w:rsidP="0061482D">
      <w:pPr>
        <w:rPr>
          <w:color w:val="002060"/>
        </w:rPr>
      </w:pPr>
      <w:r w:rsidRPr="0061482D">
        <w:rPr>
          <w:color w:val="002060"/>
        </w:rPr>
        <w:t>Analysis of complaint data and adverse event reports reveals the following root causes:</w:t>
      </w:r>
    </w:p>
    <w:p w14:paraId="10A5225E" w14:textId="77777777" w:rsidR="0061482D" w:rsidRPr="0061482D" w:rsidRDefault="0061482D" w:rsidP="0061482D">
      <w:pPr>
        <w:numPr>
          <w:ilvl w:val="0"/>
          <w:numId w:val="4"/>
        </w:numPr>
        <w:rPr>
          <w:color w:val="002060"/>
        </w:rPr>
      </w:pPr>
      <w:r w:rsidRPr="0061482D">
        <w:rPr>
          <w:color w:val="002060"/>
        </w:rPr>
        <w:t>Organizational Constraints: Chronic understaffing, inadequate training, resource rationing. Evidence: High complaint rates in low-staffed units; staff surveys citing burnout.</w:t>
      </w:r>
    </w:p>
    <w:p w14:paraId="2A242DBE" w14:textId="77777777" w:rsidR="0061482D" w:rsidRPr="0061482D" w:rsidRDefault="0061482D" w:rsidP="0061482D">
      <w:pPr>
        <w:numPr>
          <w:ilvl w:val="0"/>
          <w:numId w:val="4"/>
        </w:numPr>
        <w:rPr>
          <w:color w:val="002060"/>
        </w:rPr>
      </w:pPr>
      <w:r w:rsidRPr="0061482D">
        <w:rPr>
          <w:color w:val="002060"/>
        </w:rPr>
        <w:t>Culture and Leadership Failures: Tolerance of poor practices, lack of accountability, disengaged leadership. Evidence: Recurrent themes in whistleblower reports; culture audits indicating poor morale.</w:t>
      </w:r>
    </w:p>
    <w:p w14:paraId="48FB9156" w14:textId="77777777" w:rsidR="0061482D" w:rsidRPr="0061482D" w:rsidRDefault="0061482D" w:rsidP="0061482D">
      <w:pPr>
        <w:numPr>
          <w:ilvl w:val="0"/>
          <w:numId w:val="4"/>
        </w:numPr>
        <w:rPr>
          <w:color w:val="002060"/>
        </w:rPr>
      </w:pPr>
      <w:r w:rsidRPr="0061482D">
        <w:rPr>
          <w:color w:val="002060"/>
        </w:rPr>
        <w:t>Measurement Gaps: Incomplete or delayed tracking of patient experience and safety data. Evidence: Missing or inconsistent PREM and PROM data; delayed incident reporting.</w:t>
      </w:r>
    </w:p>
    <w:p w14:paraId="76037CBC" w14:textId="77777777" w:rsidR="0061482D" w:rsidRPr="0061482D" w:rsidRDefault="0061482D" w:rsidP="0061482D">
      <w:pPr>
        <w:numPr>
          <w:ilvl w:val="0"/>
          <w:numId w:val="4"/>
        </w:numPr>
        <w:rPr>
          <w:color w:val="002060"/>
        </w:rPr>
      </w:pPr>
      <w:r w:rsidRPr="0061482D">
        <w:rPr>
          <w:color w:val="002060"/>
        </w:rPr>
        <w:lastRenderedPageBreak/>
        <w:t>Reporting and Safety Systems: Fragmented complaint management, lack of escalation pathways. Evidence: Complaints not linked to corrective actions; repeat incidents.</w:t>
      </w:r>
    </w:p>
    <w:p w14:paraId="7ED53918" w14:textId="77777777" w:rsidR="0061482D" w:rsidRPr="0061482D" w:rsidRDefault="0061482D" w:rsidP="0061482D">
      <w:pPr>
        <w:pStyle w:val="Heading2"/>
        <w:rPr>
          <w:color w:val="002060"/>
        </w:rPr>
      </w:pPr>
      <w:r w:rsidRPr="0061482D">
        <w:rPr>
          <w:color w:val="002060"/>
        </w:rPr>
        <w:t>Evidence-Based Interventions and Operational Strategy</w:t>
      </w:r>
    </w:p>
    <w:p w14:paraId="54FC5736" w14:textId="77777777" w:rsidR="0061482D" w:rsidRPr="0061482D" w:rsidRDefault="0061482D" w:rsidP="0061482D">
      <w:pPr>
        <w:rPr>
          <w:color w:val="002060"/>
        </w:rPr>
      </w:pPr>
      <w:r w:rsidRPr="0061482D">
        <w:rPr>
          <w:color w:val="002060"/>
        </w:rPr>
        <w:t>Effective interventions address both structural and cultural factors:</w:t>
      </w:r>
    </w:p>
    <w:p w14:paraId="6FAA9871" w14:textId="77777777" w:rsidR="0061482D" w:rsidRPr="0061482D" w:rsidRDefault="0061482D" w:rsidP="0061482D">
      <w:pPr>
        <w:numPr>
          <w:ilvl w:val="0"/>
          <w:numId w:val="5"/>
        </w:numPr>
        <w:rPr>
          <w:color w:val="002060"/>
        </w:rPr>
      </w:pPr>
      <w:r w:rsidRPr="0061482D">
        <w:rPr>
          <w:color w:val="002060"/>
        </w:rPr>
        <w:t>Staffing Optimization: Implement safe staffing ratios, flexible workforce models, and targeted recruitment to alleviate workload pressures.</w:t>
      </w:r>
    </w:p>
    <w:p w14:paraId="7EA7217B" w14:textId="77777777" w:rsidR="0061482D" w:rsidRPr="0061482D" w:rsidRDefault="0061482D" w:rsidP="0061482D">
      <w:pPr>
        <w:numPr>
          <w:ilvl w:val="0"/>
          <w:numId w:val="5"/>
        </w:numPr>
        <w:rPr>
          <w:color w:val="002060"/>
        </w:rPr>
      </w:pPr>
      <w:r w:rsidRPr="0061482D">
        <w:rPr>
          <w:color w:val="002060"/>
        </w:rPr>
        <w:t>Complaint Analytics: Deploy advanced analytics to identify complaint patterns, track resolution, and generate actionable insights.</w:t>
      </w:r>
    </w:p>
    <w:p w14:paraId="6CBC643E" w14:textId="77777777" w:rsidR="0061482D" w:rsidRPr="0061482D" w:rsidRDefault="0061482D" w:rsidP="0061482D">
      <w:pPr>
        <w:numPr>
          <w:ilvl w:val="0"/>
          <w:numId w:val="5"/>
        </w:numPr>
        <w:rPr>
          <w:color w:val="002060"/>
        </w:rPr>
      </w:pPr>
      <w:r w:rsidRPr="0061482D">
        <w:rPr>
          <w:color w:val="002060"/>
        </w:rPr>
        <w:t>Procedural Monitoring: Establish real-time monitoring of care processes, including escalation protocols and medication administration.</w:t>
      </w:r>
    </w:p>
    <w:p w14:paraId="125E8268" w14:textId="77777777" w:rsidR="0061482D" w:rsidRPr="0061482D" w:rsidRDefault="0061482D" w:rsidP="0061482D">
      <w:pPr>
        <w:numPr>
          <w:ilvl w:val="0"/>
          <w:numId w:val="5"/>
        </w:numPr>
        <w:rPr>
          <w:color w:val="002060"/>
        </w:rPr>
      </w:pPr>
      <w:r w:rsidRPr="0061482D">
        <w:rPr>
          <w:color w:val="002060"/>
        </w:rPr>
        <w:t>Culture Transformation Programs: Launch leadership development, staff engagement, and zero-tolerance initiatives for neglect.</w:t>
      </w:r>
    </w:p>
    <w:p w14:paraId="4EBD8834" w14:textId="77777777" w:rsidR="0061482D" w:rsidRPr="0061482D" w:rsidRDefault="0061482D" w:rsidP="0061482D">
      <w:pPr>
        <w:numPr>
          <w:ilvl w:val="0"/>
          <w:numId w:val="5"/>
        </w:numPr>
        <w:rPr>
          <w:color w:val="002060"/>
        </w:rPr>
      </w:pPr>
      <w:r w:rsidRPr="0061482D">
        <w:rPr>
          <w:color w:val="002060"/>
        </w:rPr>
        <w:t>Experience Measurement: Integrate PREMs and PROMs into routine operations for continuous feedback.</w:t>
      </w:r>
    </w:p>
    <w:p w14:paraId="581F041D" w14:textId="77777777" w:rsidR="0061482D" w:rsidRPr="0061482D" w:rsidRDefault="0061482D" w:rsidP="0061482D">
      <w:pPr>
        <w:rPr>
          <w:color w:val="002060"/>
        </w:rPr>
      </w:pPr>
      <w:r w:rsidRPr="0061482D">
        <w:rPr>
          <w:color w:val="002060"/>
        </w:rPr>
        <w:t>Operational strategy should prioritize cross-functional collaboration, regular audit cycles, and transparent reporting to stakeholders.</w:t>
      </w:r>
    </w:p>
    <w:p w14:paraId="38EDA27B" w14:textId="77777777" w:rsidR="0061482D" w:rsidRPr="0061482D" w:rsidRDefault="0061482D" w:rsidP="0061482D">
      <w:pPr>
        <w:pStyle w:val="Heading2"/>
        <w:rPr>
          <w:color w:val="002060"/>
        </w:rPr>
      </w:pPr>
      <w:r w:rsidRPr="0061482D">
        <w:rPr>
          <w:color w:val="002060"/>
        </w:rPr>
        <w:t>How Technology and Desha.ai</w:t>
      </w:r>
      <w:r w:rsidRPr="0061482D">
        <w:rPr>
          <w:rFonts w:ascii="Cambria Math" w:hAnsi="Cambria Math" w:cs="Cambria Math"/>
          <w:color w:val="002060"/>
        </w:rPr>
        <w:t>‑</w:t>
      </w:r>
      <w:r w:rsidRPr="0061482D">
        <w:rPr>
          <w:color w:val="002060"/>
        </w:rPr>
        <w:t>Style Systems Close the Loop</w:t>
      </w:r>
    </w:p>
    <w:p w14:paraId="0F7F0946" w14:textId="77777777" w:rsidR="0061482D" w:rsidRPr="0061482D" w:rsidRDefault="0061482D" w:rsidP="0061482D">
      <w:pPr>
        <w:rPr>
          <w:color w:val="002060"/>
        </w:rPr>
      </w:pPr>
      <w:r w:rsidRPr="0061482D">
        <w:rPr>
          <w:color w:val="002060"/>
        </w:rPr>
        <w:t>AI-enabled platforms such as Desha.ai facilitate a closed-loop approach to patient safety and experience management:</w:t>
      </w:r>
    </w:p>
    <w:p w14:paraId="17938BF0" w14:textId="77777777" w:rsidR="0061482D" w:rsidRPr="0061482D" w:rsidRDefault="0061482D" w:rsidP="0061482D">
      <w:pPr>
        <w:numPr>
          <w:ilvl w:val="0"/>
          <w:numId w:val="6"/>
        </w:numPr>
        <w:rPr>
          <w:color w:val="002060"/>
        </w:rPr>
      </w:pPr>
      <w:r w:rsidRPr="0061482D">
        <w:rPr>
          <w:color w:val="002060"/>
        </w:rPr>
        <w:t>Care-Tracking: Automated monitoring of patient pathways, flagging deviations from protocol.</w:t>
      </w:r>
    </w:p>
    <w:p w14:paraId="126C30EF" w14:textId="77777777" w:rsidR="0061482D" w:rsidRPr="0061482D" w:rsidRDefault="0061482D" w:rsidP="0061482D">
      <w:pPr>
        <w:numPr>
          <w:ilvl w:val="0"/>
          <w:numId w:val="6"/>
        </w:numPr>
        <w:rPr>
          <w:color w:val="002060"/>
        </w:rPr>
      </w:pPr>
      <w:r w:rsidRPr="0061482D">
        <w:rPr>
          <w:color w:val="002060"/>
        </w:rPr>
        <w:t>Experience Capture: Real-time collection of patient feedback via digital channels.</w:t>
      </w:r>
    </w:p>
    <w:p w14:paraId="5B9E03E2" w14:textId="77777777" w:rsidR="0061482D" w:rsidRPr="0061482D" w:rsidRDefault="0061482D" w:rsidP="0061482D">
      <w:pPr>
        <w:numPr>
          <w:ilvl w:val="0"/>
          <w:numId w:val="6"/>
        </w:numPr>
        <w:rPr>
          <w:color w:val="002060"/>
        </w:rPr>
      </w:pPr>
      <w:r w:rsidRPr="0061482D">
        <w:rPr>
          <w:color w:val="002060"/>
        </w:rPr>
        <w:t>Analytics and Escalation: Machine learning algorithms detect risk patterns, prioritize high-impact cases, and trigger escalation workflows.</w:t>
      </w:r>
    </w:p>
    <w:p w14:paraId="5807E4BE" w14:textId="77777777" w:rsidR="0061482D" w:rsidRPr="0061482D" w:rsidRDefault="0061482D" w:rsidP="0061482D">
      <w:pPr>
        <w:numPr>
          <w:ilvl w:val="0"/>
          <w:numId w:val="6"/>
        </w:numPr>
        <w:rPr>
          <w:color w:val="002060"/>
        </w:rPr>
      </w:pPr>
      <w:r w:rsidRPr="0061482D">
        <w:rPr>
          <w:color w:val="002060"/>
        </w:rPr>
        <w:t>Complaint-to-Action Pipeline: Structured mapping from complaint intake to resolution, ensuring accountability and learning.</w:t>
      </w:r>
    </w:p>
    <w:p w14:paraId="41DF3F97" w14:textId="77777777" w:rsidR="0061482D" w:rsidRPr="0061482D" w:rsidRDefault="0061482D" w:rsidP="0061482D">
      <w:pPr>
        <w:numPr>
          <w:ilvl w:val="0"/>
          <w:numId w:val="6"/>
        </w:numPr>
        <w:rPr>
          <w:color w:val="002060"/>
        </w:rPr>
      </w:pPr>
      <w:r w:rsidRPr="0061482D">
        <w:rPr>
          <w:color w:val="002060"/>
        </w:rPr>
        <w:t>Health-coach – Ai based coach which helps to align to health goals</w:t>
      </w:r>
    </w:p>
    <w:p w14:paraId="2C975348" w14:textId="77777777" w:rsidR="0061482D" w:rsidRPr="0061482D" w:rsidRDefault="0061482D" w:rsidP="0061482D">
      <w:pPr>
        <w:rPr>
          <w:color w:val="002060"/>
        </w:rPr>
      </w:pPr>
      <w:r w:rsidRPr="0061482D">
        <w:rPr>
          <w:color w:val="002060"/>
        </w:rPr>
        <w:t>Integration with electronic health records (EHRs) and hospital information systems enables seamless data flow, comprehensive case histories, and rapid response to emerging risks.</w:t>
      </w:r>
    </w:p>
    <w:p w14:paraId="4462B950" w14:textId="77777777" w:rsidR="0061482D" w:rsidRPr="0061482D" w:rsidRDefault="0061482D" w:rsidP="0061482D">
      <w:pPr>
        <w:pStyle w:val="Heading2"/>
        <w:rPr>
          <w:color w:val="002060"/>
        </w:rPr>
      </w:pPr>
      <w:r w:rsidRPr="0061482D">
        <w:rPr>
          <w:color w:val="002060"/>
        </w:rPr>
        <w:t>Global Deployment: Regional Scenarios</w:t>
      </w:r>
    </w:p>
    <w:p w14:paraId="1A6C08D5" w14:textId="77777777" w:rsidR="0061482D" w:rsidRPr="0061482D" w:rsidRDefault="0061482D" w:rsidP="0061482D">
      <w:pPr>
        <w:rPr>
          <w:color w:val="002060"/>
        </w:rPr>
      </w:pPr>
      <w:r w:rsidRPr="0061482D">
        <w:rPr>
          <w:color w:val="002060"/>
        </w:rPr>
        <w:t>Deployment of AI-enabled patient safety platforms requires adaptation to local regulatory, infrastructural, and cultural contexts. Key considerations by region:</w:t>
      </w:r>
    </w:p>
    <w:p w14:paraId="3D9B93E5" w14:textId="77777777" w:rsidR="0061482D" w:rsidRPr="0061482D" w:rsidRDefault="0061482D" w:rsidP="0061482D">
      <w:pPr>
        <w:numPr>
          <w:ilvl w:val="0"/>
          <w:numId w:val="7"/>
        </w:numPr>
        <w:rPr>
          <w:color w:val="002060"/>
        </w:rPr>
      </w:pPr>
      <w:r w:rsidRPr="0061482D">
        <w:rPr>
          <w:color w:val="002060"/>
        </w:rPr>
        <w:lastRenderedPageBreak/>
        <w:t>Asia: Large-scale hospital networks, variable regulatory environments, high mobile penetration. Focus: EHR integration, multilingual feedback tools.</w:t>
      </w:r>
    </w:p>
    <w:p w14:paraId="14857ABB" w14:textId="77777777" w:rsidR="0061482D" w:rsidRPr="0061482D" w:rsidRDefault="0061482D" w:rsidP="0061482D">
      <w:pPr>
        <w:numPr>
          <w:ilvl w:val="0"/>
          <w:numId w:val="7"/>
        </w:numPr>
        <w:rPr>
          <w:color w:val="002060"/>
        </w:rPr>
      </w:pPr>
      <w:r w:rsidRPr="0061482D">
        <w:rPr>
          <w:color w:val="002060"/>
        </w:rPr>
        <w:t>Africa: Resource constraints, variable connectivity. Focus: Mobile-first solutions, offline data capture, community engagement.</w:t>
      </w:r>
    </w:p>
    <w:p w14:paraId="5FC216CC" w14:textId="77777777" w:rsidR="0061482D" w:rsidRPr="0061482D" w:rsidRDefault="0061482D" w:rsidP="0061482D">
      <w:pPr>
        <w:numPr>
          <w:ilvl w:val="0"/>
          <w:numId w:val="7"/>
        </w:numPr>
        <w:rPr>
          <w:color w:val="002060"/>
        </w:rPr>
      </w:pPr>
      <w:r w:rsidRPr="0061482D">
        <w:rPr>
          <w:color w:val="002060"/>
        </w:rPr>
        <w:t>Europe: Strong regulatory frameworks (GDPR) established safety reporting. Focus: Interoperability, data privacy, national integration.</w:t>
      </w:r>
    </w:p>
    <w:p w14:paraId="33F17929" w14:textId="77777777" w:rsidR="0061482D" w:rsidRPr="0061482D" w:rsidRDefault="0061482D" w:rsidP="0061482D">
      <w:pPr>
        <w:numPr>
          <w:ilvl w:val="0"/>
          <w:numId w:val="7"/>
        </w:numPr>
        <w:rPr>
          <w:color w:val="002060"/>
        </w:rPr>
      </w:pPr>
      <w:r w:rsidRPr="0061482D">
        <w:rPr>
          <w:color w:val="002060"/>
        </w:rPr>
        <w:t>North America: Fragmented system, advanced analytics adoption. Focus: Standardization, cross-provider data sharing, regulatory mapping.</w:t>
      </w:r>
    </w:p>
    <w:p w14:paraId="51C1E6B2" w14:textId="77777777" w:rsidR="0061482D" w:rsidRPr="0061482D" w:rsidRDefault="0061482D" w:rsidP="0061482D">
      <w:pPr>
        <w:numPr>
          <w:ilvl w:val="0"/>
          <w:numId w:val="7"/>
        </w:numPr>
        <w:rPr>
          <w:color w:val="002060"/>
        </w:rPr>
      </w:pPr>
      <w:r w:rsidRPr="0061482D">
        <w:rPr>
          <w:color w:val="002060"/>
        </w:rPr>
        <w:t>Latin America: Diverse healthcare models, emerging tech infrastructure. Focus: Scalable cloud deployment, language localization.</w:t>
      </w:r>
    </w:p>
    <w:p w14:paraId="16BC1B79" w14:textId="77777777" w:rsidR="0061482D" w:rsidRPr="0061482D" w:rsidRDefault="0061482D" w:rsidP="0061482D">
      <w:pPr>
        <w:rPr>
          <w:color w:val="002060"/>
        </w:rPr>
      </w:pPr>
      <w:r w:rsidRPr="0061482D">
        <w:rPr>
          <w:color w:val="002060"/>
        </w:rPr>
        <w:t>Successful deployment hinges on stakeholder engagement, regulatory compliance, and robust training programs.</w:t>
      </w:r>
    </w:p>
    <w:p w14:paraId="4976BE82" w14:textId="77777777" w:rsidR="0061482D" w:rsidRPr="0061482D" w:rsidRDefault="0061482D" w:rsidP="0061482D">
      <w:pPr>
        <w:pStyle w:val="Heading3"/>
        <w:rPr>
          <w:color w:val="002060"/>
        </w:rPr>
      </w:pPr>
      <w:r w:rsidRPr="0061482D">
        <w:rPr>
          <w:color w:val="002060"/>
        </w:rPr>
        <w:t>Annex — Artifacts and Direct Links</w:t>
      </w:r>
    </w:p>
    <w:p w14:paraId="6B775AFD" w14:textId="77777777" w:rsidR="0061482D" w:rsidRPr="0061482D" w:rsidRDefault="0061482D" w:rsidP="0061482D">
      <w:pPr>
        <w:rPr>
          <w:color w:val="002060"/>
        </w:rPr>
      </w:pPr>
    </w:p>
    <w:p w14:paraId="5CEA8CFA" w14:textId="77777777" w:rsidR="0061482D" w:rsidRPr="0061482D" w:rsidRDefault="0061482D" w:rsidP="0061482D">
      <w:pPr>
        <w:rPr>
          <w:color w:val="002060"/>
        </w:rPr>
      </w:pPr>
      <w:hyperlink r:id="rId7" w:history="1">
        <w:r w:rsidRPr="0061482D">
          <w:rPr>
            <w:rStyle w:val="Hyperlink"/>
            <w:color w:val="002060"/>
          </w:rPr>
          <w:t>https://www.gov.uk/government/publications/report-of-the-mid-staffordshire-nhs-foundation-trust-public-inquiry</w:t>
        </w:r>
      </w:hyperlink>
      <w:r w:rsidRPr="0061482D">
        <w:rPr>
          <w:color w:val="002060"/>
        </w:rPr>
        <w:t xml:space="preserve"> </w:t>
      </w:r>
      <w:r w:rsidRPr="0061482D">
        <w:rPr>
          <w:color w:val="002060"/>
        </w:rPr>
        <w:br/>
      </w:r>
      <w:hyperlink r:id="rId8" w:history="1">
        <w:r w:rsidRPr="0061482D">
          <w:rPr>
            <w:rStyle w:val="Hyperlink"/>
            <w:color w:val="002060"/>
          </w:rPr>
          <w:t>https://qualitysafety.bmj.com/content/23/8/678</w:t>
        </w:r>
      </w:hyperlink>
      <w:r w:rsidRPr="0061482D">
        <w:rPr>
          <w:color w:val="002060"/>
        </w:rPr>
        <w:t xml:space="preserve"> </w:t>
      </w:r>
    </w:p>
    <w:p w14:paraId="2D2F3068" w14:textId="77777777" w:rsidR="0061482D" w:rsidRPr="0061482D" w:rsidRDefault="0061482D" w:rsidP="0061482D">
      <w:pPr>
        <w:rPr>
          <w:color w:val="002060"/>
        </w:rPr>
      </w:pPr>
      <w:hyperlink r:id="rId9" w:history="1">
        <w:r w:rsidRPr="0061482D">
          <w:rPr>
            <w:rStyle w:val="Hyperlink"/>
            <w:color w:val="002060"/>
          </w:rPr>
          <w:t>https://bmchealthservres.biomedcentral.com/articles/10.1186/1472-6963-13-156</w:t>
        </w:r>
      </w:hyperlink>
      <w:r w:rsidRPr="0061482D">
        <w:rPr>
          <w:color w:val="002060"/>
        </w:rPr>
        <w:t xml:space="preserve"> </w:t>
      </w:r>
    </w:p>
    <w:p w14:paraId="0660DA9B" w14:textId="77777777" w:rsidR="0061482D" w:rsidRPr="0061482D" w:rsidRDefault="0061482D" w:rsidP="0061482D">
      <w:pPr>
        <w:rPr>
          <w:color w:val="002060"/>
        </w:rPr>
      </w:pPr>
      <w:hyperlink r:id="rId10" w:history="1">
        <w:r w:rsidRPr="0061482D">
          <w:rPr>
            <w:rStyle w:val="Hyperlink"/>
            <w:color w:val="002060"/>
          </w:rPr>
          <w:t>https://www.england.nhs.uk/patient-safety/patient-safety-insight/learning-from-patient-safety-events/how-we-acted-on-patient-safety-issues-you-recorded/clinical-specialty/</w:t>
        </w:r>
      </w:hyperlink>
      <w:r w:rsidRPr="0061482D">
        <w:rPr>
          <w:color w:val="002060"/>
        </w:rPr>
        <w:t xml:space="preserve"> </w:t>
      </w:r>
    </w:p>
    <w:p w14:paraId="4CAF1119" w14:textId="77777777" w:rsidR="0061482D" w:rsidRPr="0061482D" w:rsidRDefault="0061482D" w:rsidP="0061482D">
      <w:pPr>
        <w:rPr>
          <w:color w:val="002060"/>
        </w:rPr>
      </w:pPr>
      <w:hyperlink r:id="rId11" w:history="1">
        <w:r w:rsidRPr="0061482D">
          <w:rPr>
            <w:rStyle w:val="Hyperlink"/>
            <w:color w:val="002060"/>
          </w:rPr>
          <w:t>https://qualitysafety.bmj.com/content/23/8/678</w:t>
        </w:r>
      </w:hyperlink>
      <w:r w:rsidRPr="0061482D">
        <w:rPr>
          <w:color w:val="002060"/>
        </w:rPr>
        <w:t xml:space="preserve"> </w:t>
      </w:r>
    </w:p>
    <w:p w14:paraId="732FCD09" w14:textId="77777777" w:rsidR="0061482D" w:rsidRPr="0061482D" w:rsidRDefault="0061482D" w:rsidP="0061482D">
      <w:pPr>
        <w:rPr>
          <w:color w:val="002060"/>
        </w:rPr>
      </w:pPr>
      <w:hyperlink r:id="rId12" w:history="1">
        <w:r w:rsidRPr="0061482D">
          <w:rPr>
            <w:rStyle w:val="Hyperlink"/>
            <w:color w:val="002060"/>
          </w:rPr>
          <w:t>https://bmchealthservres.biomedcentral.com/articles/10.1186/1472-6963-13-156</w:t>
        </w:r>
      </w:hyperlink>
      <w:r w:rsidRPr="0061482D">
        <w:rPr>
          <w:color w:val="002060"/>
        </w:rPr>
        <w:t xml:space="preserve"> </w:t>
      </w:r>
    </w:p>
    <w:p w14:paraId="0BD9D420" w14:textId="77777777" w:rsidR="0061482D" w:rsidRPr="0061482D" w:rsidRDefault="0061482D" w:rsidP="0061482D">
      <w:pPr>
        <w:rPr>
          <w:color w:val="002060"/>
        </w:rPr>
      </w:pPr>
    </w:p>
    <w:tbl>
      <w:tblPr>
        <w:tblStyle w:val="PlainTable1"/>
        <w:tblW w:w="0" w:type="auto"/>
        <w:tblLook w:val="0420" w:firstRow="1" w:lastRow="0" w:firstColumn="0" w:lastColumn="0" w:noHBand="0" w:noVBand="1"/>
      </w:tblPr>
      <w:tblGrid>
        <w:gridCol w:w="3116"/>
        <w:gridCol w:w="3117"/>
        <w:gridCol w:w="3117"/>
      </w:tblGrid>
      <w:tr w:rsidR="0061482D" w:rsidRPr="0061482D" w14:paraId="6996A4CD" w14:textId="77777777" w:rsidTr="00E55368">
        <w:trPr>
          <w:cnfStyle w:val="100000000000" w:firstRow="1" w:lastRow="0" w:firstColumn="0" w:lastColumn="0" w:oddVBand="0" w:evenVBand="0" w:oddHBand="0" w:evenHBand="0" w:firstRowFirstColumn="0" w:firstRowLastColumn="0" w:lastRowFirstColumn="0" w:lastRowLastColumn="0"/>
        </w:trPr>
        <w:tc>
          <w:tcPr>
            <w:tcW w:w="3116" w:type="dxa"/>
          </w:tcPr>
          <w:p w14:paraId="3EAB7ADC" w14:textId="77777777" w:rsidR="0061482D" w:rsidRPr="0061482D" w:rsidRDefault="0061482D" w:rsidP="0061482D">
            <w:pPr>
              <w:spacing w:after="160" w:line="278" w:lineRule="auto"/>
              <w:rPr>
                <w:color w:val="002060"/>
              </w:rPr>
            </w:pPr>
            <w:r w:rsidRPr="0061482D">
              <w:rPr>
                <w:color w:val="002060"/>
              </w:rPr>
              <w:t>Artifact</w:t>
            </w:r>
          </w:p>
        </w:tc>
        <w:tc>
          <w:tcPr>
            <w:tcW w:w="3117" w:type="dxa"/>
          </w:tcPr>
          <w:p w14:paraId="53951C58" w14:textId="77777777" w:rsidR="0061482D" w:rsidRPr="0061482D" w:rsidRDefault="0061482D" w:rsidP="0061482D">
            <w:pPr>
              <w:spacing w:after="160" w:line="278" w:lineRule="auto"/>
              <w:rPr>
                <w:color w:val="002060"/>
              </w:rPr>
            </w:pPr>
            <w:r w:rsidRPr="0061482D">
              <w:rPr>
                <w:color w:val="002060"/>
              </w:rPr>
              <w:t>Description</w:t>
            </w:r>
          </w:p>
        </w:tc>
        <w:tc>
          <w:tcPr>
            <w:tcW w:w="3117" w:type="dxa"/>
          </w:tcPr>
          <w:p w14:paraId="1A6D2E51" w14:textId="77777777" w:rsidR="0061482D" w:rsidRPr="0061482D" w:rsidRDefault="0061482D" w:rsidP="0061482D">
            <w:pPr>
              <w:spacing w:after="160" w:line="278" w:lineRule="auto"/>
              <w:rPr>
                <w:color w:val="002060"/>
              </w:rPr>
            </w:pPr>
            <w:r w:rsidRPr="0061482D">
              <w:rPr>
                <w:color w:val="002060"/>
              </w:rPr>
              <w:t>Link</w:t>
            </w:r>
          </w:p>
        </w:tc>
      </w:tr>
      <w:tr w:rsidR="0061482D" w:rsidRPr="0061482D" w14:paraId="61BAA712" w14:textId="77777777" w:rsidTr="00E55368">
        <w:trPr>
          <w:cnfStyle w:val="000000100000" w:firstRow="0" w:lastRow="0" w:firstColumn="0" w:lastColumn="0" w:oddVBand="0" w:evenVBand="0" w:oddHBand="1" w:evenHBand="0" w:firstRowFirstColumn="0" w:firstRowLastColumn="0" w:lastRowFirstColumn="0" w:lastRowLastColumn="0"/>
        </w:trPr>
        <w:tc>
          <w:tcPr>
            <w:tcW w:w="3116" w:type="dxa"/>
          </w:tcPr>
          <w:p w14:paraId="533D4256" w14:textId="77777777" w:rsidR="0061482D" w:rsidRPr="0061482D" w:rsidRDefault="0061482D" w:rsidP="0061482D">
            <w:pPr>
              <w:spacing w:after="160" w:line="278" w:lineRule="auto"/>
              <w:rPr>
                <w:color w:val="002060"/>
              </w:rPr>
            </w:pPr>
            <w:r w:rsidRPr="0061482D">
              <w:rPr>
                <w:color w:val="002060"/>
              </w:rPr>
              <w:t>NHS England Annual Complaints Report</w:t>
            </w:r>
          </w:p>
        </w:tc>
        <w:tc>
          <w:tcPr>
            <w:tcW w:w="3117" w:type="dxa"/>
          </w:tcPr>
          <w:p w14:paraId="7026AC5D" w14:textId="77777777" w:rsidR="0061482D" w:rsidRPr="0061482D" w:rsidRDefault="0061482D" w:rsidP="0061482D">
            <w:pPr>
              <w:spacing w:after="160" w:line="278" w:lineRule="auto"/>
              <w:rPr>
                <w:color w:val="002060"/>
              </w:rPr>
            </w:pPr>
            <w:r w:rsidRPr="0061482D">
              <w:rPr>
                <w:color w:val="002060"/>
              </w:rPr>
              <w:t>National data on complaint themes and outcomes</w:t>
            </w:r>
          </w:p>
        </w:tc>
        <w:tc>
          <w:tcPr>
            <w:tcW w:w="3117" w:type="dxa"/>
          </w:tcPr>
          <w:p w14:paraId="16AF64CC" w14:textId="77777777" w:rsidR="0061482D" w:rsidRPr="0061482D" w:rsidRDefault="0061482D" w:rsidP="0061482D">
            <w:pPr>
              <w:spacing w:after="160" w:line="278" w:lineRule="auto"/>
              <w:rPr>
                <w:color w:val="002060"/>
              </w:rPr>
            </w:pPr>
            <w:r w:rsidRPr="0061482D">
              <w:rPr>
                <w:color w:val="002060"/>
              </w:rPr>
              <w:t>NHS Complaints Report</w:t>
            </w:r>
          </w:p>
        </w:tc>
      </w:tr>
      <w:tr w:rsidR="0061482D" w:rsidRPr="0061482D" w14:paraId="344E7A94" w14:textId="77777777" w:rsidTr="00E55368">
        <w:tc>
          <w:tcPr>
            <w:tcW w:w="3116" w:type="dxa"/>
          </w:tcPr>
          <w:p w14:paraId="50A849E2" w14:textId="77777777" w:rsidR="0061482D" w:rsidRPr="0061482D" w:rsidRDefault="0061482D" w:rsidP="0061482D">
            <w:pPr>
              <w:spacing w:after="160" w:line="278" w:lineRule="auto"/>
              <w:rPr>
                <w:color w:val="002060"/>
              </w:rPr>
            </w:pPr>
            <w:r w:rsidRPr="0061482D">
              <w:rPr>
                <w:color w:val="002060"/>
              </w:rPr>
              <w:t>U.S. Joint Commission Sentinel Event Database</w:t>
            </w:r>
          </w:p>
        </w:tc>
        <w:tc>
          <w:tcPr>
            <w:tcW w:w="3117" w:type="dxa"/>
          </w:tcPr>
          <w:p w14:paraId="632755F7" w14:textId="77777777" w:rsidR="0061482D" w:rsidRPr="0061482D" w:rsidRDefault="0061482D" w:rsidP="0061482D">
            <w:pPr>
              <w:spacing w:after="160" w:line="278" w:lineRule="auto"/>
              <w:rPr>
                <w:color w:val="002060"/>
              </w:rPr>
            </w:pPr>
            <w:r w:rsidRPr="0061482D">
              <w:rPr>
                <w:color w:val="002060"/>
              </w:rPr>
              <w:t>Adverse event reporting and analysis</w:t>
            </w:r>
          </w:p>
        </w:tc>
        <w:tc>
          <w:tcPr>
            <w:tcW w:w="3117" w:type="dxa"/>
          </w:tcPr>
          <w:p w14:paraId="7719D006" w14:textId="77777777" w:rsidR="0061482D" w:rsidRPr="0061482D" w:rsidRDefault="0061482D" w:rsidP="0061482D">
            <w:pPr>
              <w:spacing w:after="160" w:line="278" w:lineRule="auto"/>
              <w:rPr>
                <w:color w:val="002060"/>
              </w:rPr>
            </w:pPr>
            <w:r w:rsidRPr="0061482D">
              <w:rPr>
                <w:color w:val="002060"/>
              </w:rPr>
              <w:t>Sentinel Event Database</w:t>
            </w:r>
          </w:p>
        </w:tc>
      </w:tr>
      <w:tr w:rsidR="0061482D" w:rsidRPr="0061482D" w14:paraId="09BFCF93" w14:textId="77777777" w:rsidTr="00E55368">
        <w:trPr>
          <w:cnfStyle w:val="000000100000" w:firstRow="0" w:lastRow="0" w:firstColumn="0" w:lastColumn="0" w:oddVBand="0" w:evenVBand="0" w:oddHBand="1" w:evenHBand="0" w:firstRowFirstColumn="0" w:firstRowLastColumn="0" w:lastRowFirstColumn="0" w:lastRowLastColumn="0"/>
        </w:trPr>
        <w:tc>
          <w:tcPr>
            <w:tcW w:w="3116" w:type="dxa"/>
          </w:tcPr>
          <w:p w14:paraId="41C1581B" w14:textId="77777777" w:rsidR="0061482D" w:rsidRPr="0061482D" w:rsidRDefault="0061482D" w:rsidP="0061482D">
            <w:pPr>
              <w:spacing w:after="160" w:line="278" w:lineRule="auto"/>
              <w:rPr>
                <w:color w:val="002060"/>
              </w:rPr>
            </w:pPr>
            <w:r w:rsidRPr="0061482D">
              <w:rPr>
                <w:color w:val="002060"/>
              </w:rPr>
              <w:t>Desha.ai Platform Overview</w:t>
            </w:r>
          </w:p>
        </w:tc>
        <w:tc>
          <w:tcPr>
            <w:tcW w:w="3117" w:type="dxa"/>
          </w:tcPr>
          <w:p w14:paraId="315DE391" w14:textId="77777777" w:rsidR="0061482D" w:rsidRPr="0061482D" w:rsidRDefault="0061482D" w:rsidP="0061482D">
            <w:pPr>
              <w:spacing w:after="160" w:line="278" w:lineRule="auto"/>
              <w:rPr>
                <w:color w:val="002060"/>
              </w:rPr>
            </w:pPr>
            <w:r w:rsidRPr="0061482D">
              <w:rPr>
                <w:color w:val="002060"/>
              </w:rPr>
              <w:t>AI-enabled patient safety and complaint analytics</w:t>
            </w:r>
          </w:p>
        </w:tc>
        <w:tc>
          <w:tcPr>
            <w:tcW w:w="3117" w:type="dxa"/>
          </w:tcPr>
          <w:p w14:paraId="79F010C2" w14:textId="77777777" w:rsidR="0061482D" w:rsidRPr="0061482D" w:rsidRDefault="0061482D" w:rsidP="0061482D">
            <w:pPr>
              <w:spacing w:after="160" w:line="278" w:lineRule="auto"/>
              <w:rPr>
                <w:color w:val="002060"/>
              </w:rPr>
            </w:pPr>
            <w:r w:rsidRPr="0061482D">
              <w:rPr>
                <w:color w:val="002060"/>
              </w:rPr>
              <w:t>Desha.ai</w:t>
            </w:r>
          </w:p>
        </w:tc>
      </w:tr>
      <w:tr w:rsidR="0061482D" w:rsidRPr="0061482D" w14:paraId="2CB9D9A9" w14:textId="77777777" w:rsidTr="00E55368">
        <w:tc>
          <w:tcPr>
            <w:tcW w:w="3116" w:type="dxa"/>
          </w:tcPr>
          <w:p w14:paraId="1E8AFFDD" w14:textId="77777777" w:rsidR="0061482D" w:rsidRPr="0061482D" w:rsidRDefault="0061482D" w:rsidP="0061482D">
            <w:pPr>
              <w:spacing w:after="160" w:line="278" w:lineRule="auto"/>
              <w:rPr>
                <w:color w:val="002060"/>
              </w:rPr>
            </w:pPr>
            <w:r w:rsidRPr="0061482D">
              <w:rPr>
                <w:color w:val="002060"/>
              </w:rPr>
              <w:lastRenderedPageBreak/>
              <w:t>WHO Patient Safety Reports</w:t>
            </w:r>
          </w:p>
        </w:tc>
        <w:tc>
          <w:tcPr>
            <w:tcW w:w="3117" w:type="dxa"/>
          </w:tcPr>
          <w:p w14:paraId="5586835F" w14:textId="77777777" w:rsidR="0061482D" w:rsidRPr="0061482D" w:rsidRDefault="0061482D" w:rsidP="0061482D">
            <w:pPr>
              <w:spacing w:after="160" w:line="278" w:lineRule="auto"/>
              <w:rPr>
                <w:color w:val="002060"/>
              </w:rPr>
            </w:pPr>
            <w:r w:rsidRPr="0061482D">
              <w:rPr>
                <w:color w:val="002060"/>
              </w:rPr>
              <w:t>Global patient safety strategies and data</w:t>
            </w:r>
          </w:p>
        </w:tc>
        <w:tc>
          <w:tcPr>
            <w:tcW w:w="3117" w:type="dxa"/>
          </w:tcPr>
          <w:p w14:paraId="246AB54C" w14:textId="77777777" w:rsidR="0061482D" w:rsidRPr="0061482D" w:rsidRDefault="0061482D" w:rsidP="0061482D">
            <w:pPr>
              <w:spacing w:after="160" w:line="278" w:lineRule="auto"/>
              <w:rPr>
                <w:color w:val="002060"/>
              </w:rPr>
            </w:pPr>
            <w:r w:rsidRPr="0061482D">
              <w:rPr>
                <w:color w:val="002060"/>
              </w:rPr>
              <w:t>WHO Patient Safety</w:t>
            </w:r>
          </w:p>
        </w:tc>
      </w:tr>
      <w:tr w:rsidR="0061482D" w:rsidRPr="0061482D" w14:paraId="12F03D69" w14:textId="77777777" w:rsidTr="00E55368">
        <w:trPr>
          <w:cnfStyle w:val="000000100000" w:firstRow="0" w:lastRow="0" w:firstColumn="0" w:lastColumn="0" w:oddVBand="0" w:evenVBand="0" w:oddHBand="1" w:evenHBand="0" w:firstRowFirstColumn="0" w:firstRowLastColumn="0" w:lastRowFirstColumn="0" w:lastRowLastColumn="0"/>
        </w:trPr>
        <w:tc>
          <w:tcPr>
            <w:tcW w:w="3116" w:type="dxa"/>
          </w:tcPr>
          <w:p w14:paraId="70DFF2F2" w14:textId="77777777" w:rsidR="0061482D" w:rsidRPr="0061482D" w:rsidRDefault="0061482D" w:rsidP="0061482D">
            <w:pPr>
              <w:spacing w:after="160" w:line="278" w:lineRule="auto"/>
              <w:rPr>
                <w:color w:val="002060"/>
              </w:rPr>
            </w:pPr>
            <w:r w:rsidRPr="0061482D">
              <w:rPr>
                <w:color w:val="002060"/>
              </w:rPr>
              <w:t>National Inquiry Reports</w:t>
            </w:r>
          </w:p>
        </w:tc>
        <w:tc>
          <w:tcPr>
            <w:tcW w:w="3117" w:type="dxa"/>
          </w:tcPr>
          <w:p w14:paraId="5A7823DA" w14:textId="77777777" w:rsidR="0061482D" w:rsidRPr="0061482D" w:rsidRDefault="0061482D" w:rsidP="0061482D">
            <w:pPr>
              <w:spacing w:after="160" w:line="278" w:lineRule="auto"/>
              <w:rPr>
                <w:color w:val="002060"/>
              </w:rPr>
            </w:pPr>
            <w:r w:rsidRPr="0061482D">
              <w:rPr>
                <w:color w:val="002060"/>
              </w:rPr>
              <w:t>Independent investigations into systemic neglect</w:t>
            </w:r>
          </w:p>
        </w:tc>
        <w:tc>
          <w:tcPr>
            <w:tcW w:w="3117" w:type="dxa"/>
          </w:tcPr>
          <w:p w14:paraId="4E04384A" w14:textId="77777777" w:rsidR="0061482D" w:rsidRPr="0061482D" w:rsidRDefault="0061482D" w:rsidP="0061482D">
            <w:pPr>
              <w:spacing w:after="160" w:line="278" w:lineRule="auto"/>
              <w:rPr>
                <w:color w:val="002060"/>
              </w:rPr>
            </w:pPr>
            <w:r w:rsidRPr="0061482D">
              <w:rPr>
                <w:color w:val="002060"/>
              </w:rPr>
              <w:t>UK Inquiry Reports</w:t>
            </w:r>
          </w:p>
        </w:tc>
      </w:tr>
    </w:tbl>
    <w:p w14:paraId="2570A669" w14:textId="77777777" w:rsidR="0061482D" w:rsidRPr="0061482D" w:rsidRDefault="0061482D" w:rsidP="0061482D">
      <w:pPr>
        <w:pStyle w:val="Heading2"/>
      </w:pPr>
      <w:r w:rsidRPr="0061482D">
        <w:t>Conclusion</w:t>
      </w:r>
    </w:p>
    <w:p w14:paraId="6DACC5A3" w14:textId="77777777" w:rsidR="0061482D" w:rsidRPr="0061482D" w:rsidRDefault="0061482D" w:rsidP="0061482D">
      <w:pPr>
        <w:rPr>
          <w:color w:val="002060"/>
        </w:rPr>
      </w:pPr>
      <w:r w:rsidRPr="0061482D">
        <w:rPr>
          <w:color w:val="002060"/>
        </w:rPr>
        <w:t>Systemic patient neglect is a multifaceted challenge requiring coordinated, evidence-based action. By leveraging structured complaint analytics, root cause analysis, and advanced AI-enabled platforms, healthcare systems can move toward proactive, patient-centered care. Global deployment must be tailored to local needs, ensuring that technology serves as an enabler rather than a barrier to safe, compassionate healthcare.</w:t>
      </w:r>
    </w:p>
    <w:p w14:paraId="1826E099" w14:textId="77777777" w:rsidR="0061482D" w:rsidRPr="0061482D" w:rsidRDefault="0061482D" w:rsidP="0061482D">
      <w:pPr>
        <w:rPr>
          <w:color w:val="002060"/>
        </w:rPr>
      </w:pPr>
    </w:p>
    <w:p w14:paraId="26831417" w14:textId="77777777" w:rsidR="0061482D" w:rsidRPr="0061482D" w:rsidRDefault="0061482D" w:rsidP="0061482D">
      <w:pPr>
        <w:pStyle w:val="Heading2"/>
        <w:rPr>
          <w:color w:val="002060"/>
        </w:rPr>
      </w:pPr>
      <w:r w:rsidRPr="0061482D">
        <w:rPr>
          <w:color w:val="002060"/>
        </w:rPr>
        <w:t>Implementation Framework for Desha.ai Integration</w:t>
      </w:r>
    </w:p>
    <w:p w14:paraId="0DA68D47" w14:textId="77777777" w:rsidR="0061482D" w:rsidRPr="0061482D" w:rsidRDefault="0061482D" w:rsidP="0061482D">
      <w:pPr>
        <w:rPr>
          <w:color w:val="002060"/>
        </w:rPr>
      </w:pPr>
      <w:r w:rsidRPr="0061482D">
        <w:rPr>
          <w:color w:val="002060"/>
        </w:rPr>
        <w:t>A structured, phased framework ensures smooth and sustainable implementation of Desha.ai within healthcare systems. The roadmap typically follows four stages:</w:t>
      </w:r>
      <w:r w:rsidRPr="0061482D">
        <w:rPr>
          <w:color w:val="002060"/>
        </w:rPr>
        <w:br/>
      </w:r>
      <w:r w:rsidRPr="0061482D">
        <w:rPr>
          <w:color w:val="002060"/>
        </w:rPr>
        <w:br/>
        <w:t>1. Assessment – Evaluate existing reporting systems, data quality, and readiness for AI integration. Map key pain points in complaint management, escalation, and patient engagement.</w:t>
      </w:r>
      <w:r w:rsidRPr="0061482D">
        <w:rPr>
          <w:color w:val="002060"/>
        </w:rPr>
        <w:br/>
        <w:t>2. Deployment – Integrate Desha.ai with hospital EHRs, safety databases, and complaint portals. Pilot in high-complaint or high-risk departments.</w:t>
      </w:r>
      <w:r w:rsidRPr="0061482D">
        <w:rPr>
          <w:color w:val="002060"/>
        </w:rPr>
        <w:br/>
        <w:t>3. Adoption – Train staff on digital complaint workflows and patient engagement dashboards. Embed AI recommendations into existing escalation protocols.</w:t>
      </w:r>
      <w:r w:rsidRPr="0061482D">
        <w:rPr>
          <w:color w:val="002060"/>
        </w:rPr>
        <w:br/>
        <w:t>4. Continuous Learning – Use predictive analytics and feedback data to refine models, ensuring adaptive improvement over time.</w:t>
      </w:r>
    </w:p>
    <w:p w14:paraId="498684E1" w14:textId="77777777" w:rsidR="0061482D" w:rsidRPr="0061482D" w:rsidRDefault="0061482D" w:rsidP="0061482D">
      <w:pPr>
        <w:rPr>
          <w:color w:val="002060"/>
        </w:rPr>
      </w:pPr>
      <w:r w:rsidRPr="0061482D">
        <w:rPr>
          <w:color w:val="002060"/>
        </w:rPr>
        <w:t>Stakeholders include clinicians, administrators, IT teams, patient advocates, and regulatory bodies. Strong governance and data-sharing agreements are critical to maintain transparency and compliance.</w:t>
      </w:r>
    </w:p>
    <w:p w14:paraId="48A48C65" w14:textId="77777777" w:rsidR="0061482D" w:rsidRPr="0061482D" w:rsidRDefault="0061482D" w:rsidP="0061482D">
      <w:pPr>
        <w:pStyle w:val="Heading2"/>
        <w:rPr>
          <w:color w:val="002060"/>
        </w:rPr>
      </w:pPr>
      <w:r w:rsidRPr="0061482D">
        <w:rPr>
          <w:color w:val="002060"/>
        </w:rPr>
        <w:t>Quantifiable Outcomes and KPIs</w:t>
      </w:r>
    </w:p>
    <w:p w14:paraId="6BAAE4AB" w14:textId="77777777" w:rsidR="0061482D" w:rsidRPr="0061482D" w:rsidRDefault="0061482D" w:rsidP="0061482D">
      <w:pPr>
        <w:rPr>
          <w:color w:val="002060"/>
        </w:rPr>
      </w:pPr>
      <w:r w:rsidRPr="0061482D">
        <w:rPr>
          <w:color w:val="002060"/>
        </w:rPr>
        <w:t>To measure the impact of Desha.ai and similar AI-enabled safety systems, healthcare organizations can track specific metrics, such as:</w:t>
      </w:r>
      <w:r w:rsidRPr="0061482D">
        <w:rPr>
          <w:color w:val="002060"/>
        </w:rPr>
        <w:br/>
      </w:r>
      <w:r w:rsidRPr="0061482D">
        <w:rPr>
          <w:color w:val="002060"/>
        </w:rPr>
        <w:br/>
        <w:t>• 30% reduction in repeat complaints through predictive escalation alerts.</w:t>
      </w:r>
      <w:r w:rsidRPr="0061482D">
        <w:rPr>
          <w:color w:val="002060"/>
        </w:rPr>
        <w:br/>
        <w:t>• 25% faster resolution of high-severity cases by AI triage and automated routing.</w:t>
      </w:r>
      <w:r w:rsidRPr="0061482D">
        <w:rPr>
          <w:color w:val="002060"/>
        </w:rPr>
        <w:br/>
        <w:t>• 40% improvement in patient feedback response rates (PREMs) using real-time digital feedback tools.</w:t>
      </w:r>
      <w:r w:rsidRPr="0061482D">
        <w:rPr>
          <w:color w:val="002060"/>
        </w:rPr>
        <w:br/>
        <w:t>• Reduction in staff burnout through intelligent workload balancing.</w:t>
      </w:r>
      <w:r w:rsidRPr="0061482D">
        <w:rPr>
          <w:color w:val="002060"/>
        </w:rPr>
        <w:br/>
        <w:t>• Increased patient trust index via transparent resolution reporting.</w:t>
      </w:r>
    </w:p>
    <w:p w14:paraId="16135621" w14:textId="77777777" w:rsidR="0061482D" w:rsidRPr="0061482D" w:rsidRDefault="0061482D" w:rsidP="0061482D">
      <w:pPr>
        <w:pStyle w:val="Heading2"/>
        <w:rPr>
          <w:color w:val="002060"/>
        </w:rPr>
      </w:pPr>
      <w:r w:rsidRPr="0061482D">
        <w:rPr>
          <w:color w:val="002060"/>
        </w:rPr>
        <w:lastRenderedPageBreak/>
        <w:t>Ethical, Regulatory, and Human Factors</w:t>
      </w:r>
    </w:p>
    <w:p w14:paraId="7EDBF9F0" w14:textId="77777777" w:rsidR="0061482D" w:rsidRPr="0061482D" w:rsidRDefault="0061482D" w:rsidP="0061482D">
      <w:pPr>
        <w:rPr>
          <w:color w:val="002060"/>
        </w:rPr>
      </w:pPr>
      <w:r w:rsidRPr="0061482D">
        <w:rPr>
          <w:color w:val="002060"/>
        </w:rPr>
        <w:t>While Desha.ai enhances data-driven decision-making, successful adoption depends on ethical deployment and human alignment. Data privacy must adhere to regional regulations such as GDPR and HIPAA. Algorithmic transparency ensures that AI outputs are explainable, auditable, and free from bias. Equally important is digital inclusion—ensuring patients of all literacy and accessibility levels can engage with digital feedback tools.</w:t>
      </w:r>
      <w:r w:rsidRPr="0061482D">
        <w:rPr>
          <w:color w:val="002060"/>
        </w:rPr>
        <w:br/>
      </w:r>
      <w:r w:rsidRPr="0061482D">
        <w:rPr>
          <w:color w:val="002060"/>
        </w:rPr>
        <w:br/>
        <w:t>Trust remains central: frontline staff must view AI as an enabler rather than a monitor. Incorporating co-design workshops and clinical governance reviews helps balance technology with empathy and professional autonomy.</w:t>
      </w:r>
    </w:p>
    <w:p w14:paraId="5810771A" w14:textId="77777777" w:rsidR="0061482D" w:rsidRPr="0061482D" w:rsidRDefault="0061482D" w:rsidP="0061482D">
      <w:pPr>
        <w:pStyle w:val="Heading2"/>
        <w:rPr>
          <w:color w:val="002060"/>
        </w:rPr>
      </w:pPr>
      <w:r w:rsidRPr="0061482D">
        <w:rPr>
          <w:color w:val="002060"/>
        </w:rPr>
        <w:t>Conclusion (Extended)</w:t>
      </w:r>
    </w:p>
    <w:p w14:paraId="0AB61783" w14:textId="77777777" w:rsidR="0061482D" w:rsidRPr="0061482D" w:rsidRDefault="0061482D" w:rsidP="0061482D">
      <w:pPr>
        <w:rPr>
          <w:color w:val="002060"/>
        </w:rPr>
      </w:pPr>
      <w:r w:rsidRPr="0061482D">
        <w:rPr>
          <w:color w:val="002060"/>
        </w:rPr>
        <w:t xml:space="preserve">By embedding </w:t>
      </w:r>
      <w:proofErr w:type="spellStart"/>
      <w:r w:rsidRPr="0061482D">
        <w:rPr>
          <w:color w:val="002060"/>
        </w:rPr>
        <w:t>Desha.ai’s</w:t>
      </w:r>
      <w:proofErr w:type="spellEnd"/>
      <w:r w:rsidRPr="0061482D">
        <w:rPr>
          <w:color w:val="002060"/>
        </w:rPr>
        <w:t xml:space="preserve"> analytical capabilities within healthcare operations, systems can evolve from reactive complaint management to proactive prevention. Quantifiable improvements in responsiveness, transparency, and patient trust illustrate the transformative potential of AI when implemented ethically and collaboratively. Future extensions may include federated learning for cross-hospital insights and global benchmarking of patient experience outcomes.</w:t>
      </w:r>
    </w:p>
    <w:p w14:paraId="471D7DF4" w14:textId="77777777" w:rsidR="004C1EA8" w:rsidRPr="0061482D" w:rsidRDefault="004C1EA8" w:rsidP="004C1EA8">
      <w:pPr>
        <w:rPr>
          <w:color w:val="002060"/>
        </w:rPr>
      </w:pPr>
    </w:p>
    <w:p w14:paraId="5175DEA5" w14:textId="77777777" w:rsidR="004C1EA8" w:rsidRPr="0061482D" w:rsidRDefault="004C1EA8" w:rsidP="004C1EA8">
      <w:pPr>
        <w:rPr>
          <w:color w:val="002060"/>
        </w:rPr>
      </w:pPr>
    </w:p>
    <w:p w14:paraId="31EB3416" w14:textId="77777777" w:rsidR="004C1EA8" w:rsidRPr="0061482D" w:rsidRDefault="004C1EA8" w:rsidP="004C1EA8">
      <w:pPr>
        <w:rPr>
          <w:color w:val="002060"/>
        </w:rPr>
      </w:pPr>
    </w:p>
    <w:p w14:paraId="273A0929" w14:textId="77777777" w:rsidR="004C1EA8" w:rsidRPr="0061482D" w:rsidRDefault="004C1EA8" w:rsidP="004C1EA8">
      <w:pPr>
        <w:rPr>
          <w:color w:val="002060"/>
        </w:rPr>
      </w:pPr>
    </w:p>
    <w:p w14:paraId="787E2336" w14:textId="77777777" w:rsidR="004C1EA8" w:rsidRPr="0061482D" w:rsidRDefault="004C1EA8" w:rsidP="004C1EA8">
      <w:pPr>
        <w:rPr>
          <w:color w:val="002060"/>
        </w:rPr>
      </w:pPr>
    </w:p>
    <w:p w14:paraId="1A19CD19" w14:textId="77777777" w:rsidR="004C1EA8" w:rsidRPr="0061482D" w:rsidRDefault="004C1EA8" w:rsidP="004C1EA8">
      <w:pPr>
        <w:rPr>
          <w:color w:val="002060"/>
        </w:rPr>
      </w:pPr>
    </w:p>
    <w:p w14:paraId="6ADE02EF" w14:textId="77777777" w:rsidR="004C1EA8" w:rsidRPr="0061482D" w:rsidRDefault="004C1EA8" w:rsidP="004C1EA8">
      <w:pPr>
        <w:rPr>
          <w:color w:val="002060"/>
        </w:rPr>
      </w:pPr>
    </w:p>
    <w:p w14:paraId="62237645" w14:textId="77777777" w:rsidR="004C1EA8" w:rsidRPr="0061482D" w:rsidRDefault="004C1EA8" w:rsidP="004C1EA8">
      <w:pPr>
        <w:rPr>
          <w:color w:val="002060"/>
        </w:rPr>
      </w:pPr>
    </w:p>
    <w:p w14:paraId="057D210B" w14:textId="77777777" w:rsidR="004C1EA8" w:rsidRPr="0061482D" w:rsidRDefault="004C1EA8" w:rsidP="004C1EA8">
      <w:pPr>
        <w:rPr>
          <w:color w:val="002060"/>
        </w:rPr>
      </w:pPr>
    </w:p>
    <w:p w14:paraId="2C694CA8" w14:textId="77777777" w:rsidR="004C1EA8" w:rsidRPr="0061482D" w:rsidRDefault="004C1EA8" w:rsidP="004C1EA8">
      <w:pPr>
        <w:rPr>
          <w:color w:val="002060"/>
        </w:rPr>
      </w:pPr>
    </w:p>
    <w:p w14:paraId="5EAEA292" w14:textId="77777777" w:rsidR="004C1EA8" w:rsidRPr="0061482D" w:rsidRDefault="004C1EA8" w:rsidP="004C1EA8">
      <w:pPr>
        <w:rPr>
          <w:color w:val="002060"/>
        </w:rPr>
      </w:pPr>
    </w:p>
    <w:p w14:paraId="6C9F9733" w14:textId="77777777" w:rsidR="004C1EA8" w:rsidRPr="0061482D" w:rsidRDefault="004C1EA8" w:rsidP="004C1EA8">
      <w:pPr>
        <w:rPr>
          <w:color w:val="002060"/>
        </w:rPr>
      </w:pPr>
    </w:p>
    <w:p w14:paraId="41786967" w14:textId="77777777" w:rsidR="004C1EA8" w:rsidRPr="0061482D" w:rsidRDefault="004C1EA8" w:rsidP="004C1EA8">
      <w:pPr>
        <w:rPr>
          <w:color w:val="002060"/>
        </w:rPr>
      </w:pPr>
    </w:p>
    <w:p w14:paraId="43706138" w14:textId="77777777" w:rsidR="004C1EA8" w:rsidRPr="0061482D" w:rsidRDefault="004C1EA8" w:rsidP="004C1EA8">
      <w:pPr>
        <w:rPr>
          <w:color w:val="002060"/>
        </w:rPr>
      </w:pPr>
    </w:p>
    <w:p w14:paraId="494E8227" w14:textId="77777777" w:rsidR="004C1EA8" w:rsidRPr="0061482D" w:rsidRDefault="004C1EA8" w:rsidP="004C1EA8">
      <w:pPr>
        <w:rPr>
          <w:color w:val="002060"/>
        </w:rPr>
      </w:pPr>
    </w:p>
    <w:p w14:paraId="63E3DFB8" w14:textId="77777777" w:rsidR="004C1EA8" w:rsidRPr="0061482D" w:rsidRDefault="004C1EA8" w:rsidP="004C1EA8">
      <w:pPr>
        <w:rPr>
          <w:color w:val="002060"/>
        </w:rPr>
      </w:pPr>
    </w:p>
    <w:p w14:paraId="380A6F9C" w14:textId="77777777" w:rsidR="004C1EA8" w:rsidRPr="0061482D" w:rsidRDefault="004C1EA8" w:rsidP="004C1EA8">
      <w:pPr>
        <w:rPr>
          <w:color w:val="002060"/>
        </w:rPr>
      </w:pPr>
    </w:p>
    <w:p w14:paraId="03687E61" w14:textId="77777777" w:rsidR="004C1EA8" w:rsidRPr="0061482D" w:rsidRDefault="004C1EA8" w:rsidP="004C1EA8">
      <w:pPr>
        <w:rPr>
          <w:color w:val="002060"/>
        </w:rPr>
      </w:pPr>
    </w:p>
    <w:p w14:paraId="5AC50662" w14:textId="77777777" w:rsidR="004C1EA8" w:rsidRPr="0061482D" w:rsidRDefault="004C1EA8" w:rsidP="00E17774">
      <w:pPr>
        <w:tabs>
          <w:tab w:val="left" w:pos="1991"/>
          <w:tab w:val="left" w:pos="3401"/>
          <w:tab w:val="left" w:pos="4259"/>
        </w:tabs>
        <w:rPr>
          <w:color w:val="002060"/>
        </w:rPr>
      </w:pPr>
      <w:r w:rsidRPr="0061482D">
        <w:rPr>
          <w:color w:val="002060"/>
        </w:rPr>
        <w:tab/>
      </w:r>
      <w:r w:rsidR="00E17774" w:rsidRPr="0061482D">
        <w:rPr>
          <w:color w:val="002060"/>
        </w:rPr>
        <w:tab/>
      </w:r>
      <w:r w:rsidR="00E17774" w:rsidRPr="0061482D">
        <w:rPr>
          <w:color w:val="002060"/>
        </w:rPr>
        <w:tab/>
      </w:r>
    </w:p>
    <w:sectPr w:rsidR="004C1EA8" w:rsidRPr="0061482D" w:rsidSect="004C1EA8">
      <w:headerReference w:type="even" r:id="rId13"/>
      <w:headerReference w:type="default" r:id="rId14"/>
      <w:footerReference w:type="default" r:id="rId15"/>
      <w:headerReference w:type="first" r:id="rId16"/>
      <w:pgSz w:w="12240" w:h="15840"/>
      <w:pgMar w:top="720" w:right="720" w:bottom="720" w:left="72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77110" w14:textId="77777777" w:rsidR="005018C2" w:rsidRDefault="005018C2" w:rsidP="005C41C6">
      <w:pPr>
        <w:spacing w:after="0" w:line="240" w:lineRule="auto"/>
      </w:pPr>
      <w:r>
        <w:separator/>
      </w:r>
    </w:p>
  </w:endnote>
  <w:endnote w:type="continuationSeparator" w:id="0">
    <w:p w14:paraId="10094189" w14:textId="77777777" w:rsidR="005018C2" w:rsidRDefault="005018C2" w:rsidP="005C4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07"/>
      <w:gridCol w:w="5393"/>
    </w:tblGrid>
    <w:tr w:rsidR="004C1EA8" w14:paraId="60DB9290" w14:textId="77777777" w:rsidTr="0095472E">
      <w:trPr>
        <w:trHeight w:hRule="exact" w:val="20"/>
        <w:jc w:val="center"/>
      </w:trPr>
      <w:tc>
        <w:tcPr>
          <w:tcW w:w="4686" w:type="dxa"/>
          <w:tcBorders>
            <w:top w:val="single" w:sz="2" w:space="0" w:color="0C3512" w:themeColor="accent3" w:themeShade="80"/>
          </w:tcBorders>
          <w:shd w:val="clear" w:color="auto" w:fill="156082" w:themeFill="accent1"/>
          <w:tcMar>
            <w:top w:w="0" w:type="dxa"/>
            <w:bottom w:w="0" w:type="dxa"/>
          </w:tcMar>
        </w:tcPr>
        <w:p w14:paraId="0B7C9249" w14:textId="77777777" w:rsidR="004C1EA8" w:rsidRDefault="004C1EA8">
          <w:pPr>
            <w:pStyle w:val="Header"/>
            <w:tabs>
              <w:tab w:val="clear" w:pos="4680"/>
              <w:tab w:val="clear" w:pos="9360"/>
            </w:tabs>
            <w:rPr>
              <w:caps/>
              <w:sz w:val="18"/>
            </w:rPr>
          </w:pPr>
        </w:p>
      </w:tc>
      <w:tc>
        <w:tcPr>
          <w:tcW w:w="4674" w:type="dxa"/>
          <w:tcBorders>
            <w:top w:val="single" w:sz="2" w:space="0" w:color="0C3512" w:themeColor="accent3" w:themeShade="80"/>
          </w:tcBorders>
          <w:shd w:val="clear" w:color="auto" w:fill="156082" w:themeFill="accent1"/>
          <w:tcMar>
            <w:top w:w="0" w:type="dxa"/>
            <w:bottom w:w="0" w:type="dxa"/>
          </w:tcMar>
        </w:tcPr>
        <w:p w14:paraId="4504B68A" w14:textId="77777777" w:rsidR="004C1EA8" w:rsidRDefault="004C1EA8">
          <w:pPr>
            <w:pStyle w:val="Header"/>
            <w:tabs>
              <w:tab w:val="clear" w:pos="4680"/>
              <w:tab w:val="clear" w:pos="9360"/>
            </w:tabs>
            <w:jc w:val="right"/>
            <w:rPr>
              <w:caps/>
              <w:sz w:val="18"/>
            </w:rPr>
          </w:pPr>
        </w:p>
      </w:tc>
    </w:tr>
    <w:tr w:rsidR="004C1EA8" w14:paraId="7627DCF2" w14:textId="77777777">
      <w:trPr>
        <w:jc w:val="center"/>
      </w:trPr>
      <w:sdt>
        <w:sdtPr>
          <w:rPr>
            <w:caps/>
            <w:color w:val="808080" w:themeColor="background1" w:themeShade="80"/>
            <w:sz w:val="18"/>
            <w:szCs w:val="18"/>
          </w:rPr>
          <w:alias w:val="Author"/>
          <w:tag w:val=""/>
          <w:id w:val="1534151868"/>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vAlign w:val="center"/>
            </w:tcPr>
            <w:p w14:paraId="6292949F" w14:textId="56A7C82C" w:rsidR="004C1EA8" w:rsidRDefault="00CC7CCB">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Confidential information</w:t>
              </w:r>
            </w:p>
          </w:tc>
        </w:sdtContent>
      </w:sdt>
      <w:tc>
        <w:tcPr>
          <w:tcW w:w="4674" w:type="dxa"/>
          <w:vAlign w:val="center"/>
        </w:tcPr>
        <w:p w14:paraId="2C5C90B3" w14:textId="77777777" w:rsidR="004C1EA8" w:rsidRDefault="004C1EA8">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72541969" w14:textId="77777777" w:rsidR="005C41C6" w:rsidRDefault="005C41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59EE5" w14:textId="77777777" w:rsidR="005018C2" w:rsidRDefault="005018C2" w:rsidP="005C41C6">
      <w:pPr>
        <w:spacing w:after="0" w:line="240" w:lineRule="auto"/>
      </w:pPr>
      <w:r>
        <w:separator/>
      </w:r>
    </w:p>
  </w:footnote>
  <w:footnote w:type="continuationSeparator" w:id="0">
    <w:p w14:paraId="5AC6642A" w14:textId="77777777" w:rsidR="005018C2" w:rsidRDefault="005018C2" w:rsidP="005C4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D846F" w14:textId="77777777" w:rsidR="005C41C6" w:rsidRDefault="0004602C">
    <w:pPr>
      <w:pStyle w:val="Header"/>
    </w:pPr>
    <w:r>
      <w:rPr>
        <w:noProof/>
      </w:rPr>
    </w:r>
    <w:r w:rsidR="0004602C">
      <w:rPr>
        <w:noProof/>
      </w:rPr>
      <w:pict w14:anchorId="2D49A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056860" o:spid="_x0000_s1029" type="#_x0000_t75" alt="" style="position:absolute;margin-left:0;margin-top:0;width:536.55pt;height:165.25pt;z-index:-251653120;mso-wrap-edited:f;mso-width-percent:0;mso-height-percent:0;mso-position-horizontal:center;mso-position-horizontal-relative:margin;mso-position-vertical:center;mso-position-vertical-relative:margin;mso-width-percent:0;mso-height-percent:0" o:allowincell="f">
          <v:imagedata r:id="rId1" o:title="DESHA_LOGO_FINAL_-_WHITE_BG_6"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21365" w14:textId="77777777" w:rsidR="005C41C6" w:rsidRPr="005C41C6" w:rsidRDefault="0004602C" w:rsidP="005C41C6">
    <w:pPr>
      <w:pStyle w:val="Header"/>
    </w:pPr>
    <w:r>
      <w:rPr>
        <w:noProof/>
      </w:rPr>
    </w:r>
    <w:r w:rsidR="0004602C">
      <w:rPr>
        <w:noProof/>
      </w:rPr>
      <w:pict w14:anchorId="0541C5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056861" o:spid="_x0000_s1030" type="#_x0000_t75" alt="" style="position:absolute;margin-left:0;margin-top:0;width:536.55pt;height:165.25pt;z-index:-251650048;mso-wrap-edited:f;mso-width-percent:0;mso-height-percent:0;mso-position-horizontal:center;mso-position-horizontal-relative:margin;mso-position-vertical:center;mso-position-vertical-relative:margin;mso-width-percent:0;mso-height-percent:0" o:allowincell="f">
          <v:imagedata r:id="rId1" o:title="DESHA_LOGO_FINAL_-_WHITE_BG_6" gain="19661f" blacklevel="22938f"/>
          <w10:wrap anchorx="margin" anchory="margin"/>
        </v:shape>
      </w:pict>
    </w:r>
    <w:r w:rsidR="005C41C6">
      <w:rPr>
        <w:noProof/>
      </w:rPr>
      <w:drawing>
        <wp:inline distT="0" distB="0" distL="0" distR="0" wp14:anchorId="261D1B18" wp14:editId="45A52F6D">
          <wp:extent cx="2245375" cy="690245"/>
          <wp:effectExtent l="0" t="0" r="2540" b="0"/>
          <wp:docPr id="1435564698" name="Picture 3"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614769" name="Picture 3" descr="A blue and white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290520" cy="70412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F25A2" w14:textId="77777777" w:rsidR="005C41C6" w:rsidRDefault="0004602C">
    <w:pPr>
      <w:pStyle w:val="Header"/>
    </w:pPr>
    <w:r>
      <w:rPr>
        <w:noProof/>
      </w:rPr>
    </w:r>
    <w:r w:rsidR="0004602C">
      <w:rPr>
        <w:noProof/>
      </w:rPr>
      <w:pict w14:anchorId="6D193B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056859" o:spid="_x0000_s1028" type="#_x0000_t75" alt="" style="position:absolute;margin-left:0;margin-top:0;width:536.55pt;height:165.25pt;z-index:-251656192;mso-wrap-edited:f;mso-width-percent:0;mso-height-percent:0;mso-position-horizontal:center;mso-position-horizontal-relative:margin;mso-position-vertical:center;mso-position-vertical-relative:margin;mso-width-percent:0;mso-height-percent:0" o:allowincell="f">
          <v:imagedata r:id="rId1" o:title="DESHA_LOGO_FINAL_-_WHITE_BG_6"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B64B8"/>
    <w:multiLevelType w:val="hybridMultilevel"/>
    <w:tmpl w:val="814CD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F76DF6"/>
    <w:multiLevelType w:val="hybridMultilevel"/>
    <w:tmpl w:val="802CB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7F363A"/>
    <w:multiLevelType w:val="hybridMultilevel"/>
    <w:tmpl w:val="3A067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0546C0"/>
    <w:multiLevelType w:val="hybridMultilevel"/>
    <w:tmpl w:val="D0642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F92EDA"/>
    <w:multiLevelType w:val="hybridMultilevel"/>
    <w:tmpl w:val="4B6E2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B027B6"/>
    <w:multiLevelType w:val="hybridMultilevel"/>
    <w:tmpl w:val="47981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2B6305"/>
    <w:multiLevelType w:val="hybridMultilevel"/>
    <w:tmpl w:val="F3548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4064227">
    <w:abstractNumId w:val="5"/>
  </w:num>
  <w:num w:numId="2" w16cid:durableId="432361336">
    <w:abstractNumId w:val="6"/>
  </w:num>
  <w:num w:numId="3" w16cid:durableId="1024163402">
    <w:abstractNumId w:val="3"/>
  </w:num>
  <w:num w:numId="4" w16cid:durableId="1942179201">
    <w:abstractNumId w:val="0"/>
  </w:num>
  <w:num w:numId="5" w16cid:durableId="645933125">
    <w:abstractNumId w:val="1"/>
  </w:num>
  <w:num w:numId="6" w16cid:durableId="1430850615">
    <w:abstractNumId w:val="4"/>
  </w:num>
  <w:num w:numId="7" w16cid:durableId="1935893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CCB"/>
    <w:rsid w:val="0004602C"/>
    <w:rsid w:val="001168EC"/>
    <w:rsid w:val="002B3572"/>
    <w:rsid w:val="002C6534"/>
    <w:rsid w:val="003634AB"/>
    <w:rsid w:val="004C1EA8"/>
    <w:rsid w:val="004C54E3"/>
    <w:rsid w:val="005018C2"/>
    <w:rsid w:val="005C41C6"/>
    <w:rsid w:val="0061482D"/>
    <w:rsid w:val="008A055B"/>
    <w:rsid w:val="0095472E"/>
    <w:rsid w:val="009F40AF"/>
    <w:rsid w:val="00C03285"/>
    <w:rsid w:val="00CC7CCB"/>
    <w:rsid w:val="00DA551F"/>
    <w:rsid w:val="00E17774"/>
    <w:rsid w:val="00F11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EB4DF"/>
  <w15:chartTrackingRefBased/>
  <w15:docId w15:val="{BE37B58F-8F34-4B4B-BA2F-A281E923D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41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C41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C41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41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41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41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41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41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41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41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C41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C41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41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41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41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41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41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41C6"/>
    <w:rPr>
      <w:rFonts w:eastAsiaTheme="majorEastAsia" w:cstheme="majorBidi"/>
      <w:color w:val="272727" w:themeColor="text1" w:themeTint="D8"/>
    </w:rPr>
  </w:style>
  <w:style w:type="paragraph" w:styleId="Title">
    <w:name w:val="Title"/>
    <w:basedOn w:val="Normal"/>
    <w:next w:val="Normal"/>
    <w:link w:val="TitleChar"/>
    <w:uiPriority w:val="10"/>
    <w:qFormat/>
    <w:rsid w:val="005C41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41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41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41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41C6"/>
    <w:pPr>
      <w:spacing w:before="160"/>
      <w:jc w:val="center"/>
    </w:pPr>
    <w:rPr>
      <w:i/>
      <w:iCs/>
      <w:color w:val="404040" w:themeColor="text1" w:themeTint="BF"/>
    </w:rPr>
  </w:style>
  <w:style w:type="character" w:customStyle="1" w:styleId="QuoteChar">
    <w:name w:val="Quote Char"/>
    <w:basedOn w:val="DefaultParagraphFont"/>
    <w:link w:val="Quote"/>
    <w:uiPriority w:val="29"/>
    <w:rsid w:val="005C41C6"/>
    <w:rPr>
      <w:i/>
      <w:iCs/>
      <w:color w:val="404040" w:themeColor="text1" w:themeTint="BF"/>
    </w:rPr>
  </w:style>
  <w:style w:type="paragraph" w:styleId="ListParagraph">
    <w:name w:val="List Paragraph"/>
    <w:basedOn w:val="Normal"/>
    <w:uiPriority w:val="34"/>
    <w:qFormat/>
    <w:rsid w:val="005C41C6"/>
    <w:pPr>
      <w:ind w:left="720"/>
      <w:contextualSpacing/>
    </w:pPr>
  </w:style>
  <w:style w:type="character" w:styleId="IntenseEmphasis">
    <w:name w:val="Intense Emphasis"/>
    <w:basedOn w:val="DefaultParagraphFont"/>
    <w:uiPriority w:val="21"/>
    <w:qFormat/>
    <w:rsid w:val="005C41C6"/>
    <w:rPr>
      <w:i/>
      <w:iCs/>
      <w:color w:val="0F4761" w:themeColor="accent1" w:themeShade="BF"/>
    </w:rPr>
  </w:style>
  <w:style w:type="paragraph" w:styleId="IntenseQuote">
    <w:name w:val="Intense Quote"/>
    <w:basedOn w:val="Normal"/>
    <w:next w:val="Normal"/>
    <w:link w:val="IntenseQuoteChar"/>
    <w:uiPriority w:val="30"/>
    <w:qFormat/>
    <w:rsid w:val="005C41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41C6"/>
    <w:rPr>
      <w:i/>
      <w:iCs/>
      <w:color w:val="0F4761" w:themeColor="accent1" w:themeShade="BF"/>
    </w:rPr>
  </w:style>
  <w:style w:type="character" w:styleId="IntenseReference">
    <w:name w:val="Intense Reference"/>
    <w:basedOn w:val="DefaultParagraphFont"/>
    <w:uiPriority w:val="32"/>
    <w:qFormat/>
    <w:rsid w:val="005C41C6"/>
    <w:rPr>
      <w:b/>
      <w:bCs/>
      <w:smallCaps/>
      <w:color w:val="0F4761" w:themeColor="accent1" w:themeShade="BF"/>
      <w:spacing w:val="5"/>
    </w:rPr>
  </w:style>
  <w:style w:type="paragraph" w:styleId="Header">
    <w:name w:val="header"/>
    <w:basedOn w:val="Normal"/>
    <w:link w:val="HeaderChar"/>
    <w:uiPriority w:val="99"/>
    <w:unhideWhenUsed/>
    <w:rsid w:val="005C4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41C6"/>
  </w:style>
  <w:style w:type="paragraph" w:styleId="Footer">
    <w:name w:val="footer"/>
    <w:basedOn w:val="Normal"/>
    <w:link w:val="FooterChar"/>
    <w:uiPriority w:val="99"/>
    <w:unhideWhenUsed/>
    <w:rsid w:val="005C4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41C6"/>
  </w:style>
  <w:style w:type="table" w:styleId="PlainTable1">
    <w:name w:val="Plain Table 1"/>
    <w:basedOn w:val="TableNormal"/>
    <w:uiPriority w:val="41"/>
    <w:rsid w:val="0061482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61482D"/>
    <w:rPr>
      <w:color w:val="467886" w:themeColor="hyperlink"/>
      <w:u w:val="single"/>
    </w:rPr>
  </w:style>
  <w:style w:type="character" w:styleId="UnresolvedMention">
    <w:name w:val="Unresolved Mention"/>
    <w:basedOn w:val="DefaultParagraphFont"/>
    <w:uiPriority w:val="99"/>
    <w:semiHidden/>
    <w:unhideWhenUsed/>
    <w:rsid w:val="006148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alitysafety.bmj.com/content/23/8/678"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publications/report-of-the-mid-staffordshire-nhs-foundation-trust-public-inquiry" TargetMode="External"/><Relationship Id="rId12" Type="http://schemas.openxmlformats.org/officeDocument/2006/relationships/hyperlink" Target="https://bmchealthservres.biomedcentral.com/articles/10.1186/1472-6963-13-15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qualitysafety.bmj.com/content/23/8/678"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england.nhs.uk/patient-safety/patient-safety-insight/learning-from-patient-safety-events/how-we-acted-on-patient-safety-issues-you-recorded/clinical-specialty/" TargetMode="External"/><Relationship Id="rId4" Type="http://schemas.openxmlformats.org/officeDocument/2006/relationships/webSettings" Target="webSettings.xml"/><Relationship Id="rId9" Type="http://schemas.openxmlformats.org/officeDocument/2006/relationships/hyperlink" Target="https://bmchealthservres.biomedcentral.com/articles/10.1186/1472-6963-13-156"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eepsharma/Downloads/Document%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Document  template.dotx</Template>
  <TotalTime>0</TotalTime>
  <Pages>7</Pages>
  <Words>1787</Words>
  <Characters>10186</Characters>
  <Application>Microsoft Office Word</Application>
  <DocSecurity>0</DocSecurity>
  <Lines>84</Lines>
  <Paragraphs>23</Paragraphs>
  <ScaleCrop>false</ScaleCrop>
  <Company/>
  <LinksUpToDate>false</LinksUpToDate>
  <CharactersWithSpaces>11950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Confidential information</dc:creator>
  <cp:keywords/>
  <dc:description/>
  <cp:lastModifiedBy>Deep Sharma</cp:lastModifiedBy>
  <cp:revision>3</cp:revision>
  <cp:lastPrinted>2025-10-08T06:01:00Z</cp:lastPrinted>
  <dcterms:created xsi:type="dcterms:W3CDTF">2025-10-09T12:12:00Z</dcterms:created>
  <dcterms:modified xsi:type="dcterms:W3CDTF">2025-10-10T20:21:00Z</dcterms:modified>
</cp:coreProperties>
</file>